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158F9" w14:textId="77777777" w:rsidR="006661ED" w:rsidRPr="00956C5F" w:rsidRDefault="006661ED" w:rsidP="00956C5F">
      <w:pPr>
        <w:tabs>
          <w:tab w:val="left" w:pos="1140"/>
        </w:tabs>
        <w:spacing w:after="240" w:line="360" w:lineRule="auto"/>
        <w:jc w:val="center"/>
        <w:rPr>
          <w:rFonts w:eastAsia="Times New Roman"/>
          <w:b/>
          <w:kern w:val="24"/>
          <w:sz w:val="28"/>
          <w:szCs w:val="28"/>
        </w:rPr>
      </w:pPr>
      <w:bookmarkStart w:id="0" w:name="_Toc490251109"/>
      <w:r w:rsidRPr="00956C5F">
        <w:rPr>
          <w:b/>
          <w:bCs/>
          <w:sz w:val="28"/>
          <w:szCs w:val="28"/>
        </w:rPr>
        <w:t xml:space="preserve">Removal of </w:t>
      </w:r>
      <w:r w:rsidR="00B547FA" w:rsidRPr="00956C5F">
        <w:rPr>
          <w:b/>
          <w:bCs/>
          <w:sz w:val="28"/>
          <w:szCs w:val="28"/>
        </w:rPr>
        <w:t>Chromium (VI)</w:t>
      </w:r>
      <w:r w:rsidRPr="00956C5F">
        <w:rPr>
          <w:b/>
          <w:bCs/>
          <w:sz w:val="28"/>
          <w:szCs w:val="28"/>
        </w:rPr>
        <w:t xml:space="preserve"> from Synthetic Wastewater Using </w:t>
      </w:r>
      <w:r w:rsidR="001E5F3B" w:rsidRPr="00956C5F">
        <w:rPr>
          <w:b/>
          <w:bCs/>
          <w:sz w:val="28"/>
          <w:szCs w:val="28"/>
        </w:rPr>
        <w:t xml:space="preserve">Industrial </w:t>
      </w:r>
      <w:r w:rsidR="00B547FA" w:rsidRPr="00956C5F">
        <w:rPr>
          <w:b/>
          <w:bCs/>
          <w:sz w:val="28"/>
          <w:szCs w:val="28"/>
        </w:rPr>
        <w:t>M</w:t>
      </w:r>
      <w:r w:rsidRPr="00956C5F">
        <w:rPr>
          <w:b/>
          <w:bCs/>
          <w:sz w:val="28"/>
          <w:szCs w:val="28"/>
        </w:rPr>
        <w:t>arble</w:t>
      </w:r>
      <w:r w:rsidR="001E5F3B" w:rsidRPr="00956C5F">
        <w:rPr>
          <w:b/>
          <w:bCs/>
          <w:sz w:val="28"/>
          <w:szCs w:val="28"/>
        </w:rPr>
        <w:t xml:space="preserve"> Waste</w:t>
      </w:r>
      <w:r w:rsidR="00817ECD" w:rsidRPr="00956C5F">
        <w:rPr>
          <w:b/>
          <w:bCs/>
          <w:sz w:val="28"/>
          <w:szCs w:val="28"/>
        </w:rPr>
        <w:t xml:space="preserve"> </w:t>
      </w:r>
    </w:p>
    <w:p w14:paraId="6ABF34CD" w14:textId="154B8450" w:rsidR="000A66C5" w:rsidRPr="008330A8" w:rsidRDefault="00D91E74" w:rsidP="008330A8">
      <w:pPr>
        <w:tabs>
          <w:tab w:val="left" w:pos="1280"/>
          <w:tab w:val="center" w:pos="4680"/>
        </w:tabs>
        <w:spacing w:after="0" w:line="360" w:lineRule="auto"/>
        <w:jc w:val="center"/>
        <w:rPr>
          <w:rFonts w:eastAsia="Times New Roman"/>
          <w:i/>
          <w:iCs/>
          <w:sz w:val="22"/>
        </w:rPr>
      </w:pPr>
      <w:proofErr w:type="spellStart"/>
      <w:r w:rsidRPr="008330A8">
        <w:rPr>
          <w:rFonts w:eastAsia="Times New Roman"/>
          <w:i/>
          <w:iCs/>
          <w:sz w:val="22"/>
        </w:rPr>
        <w:t>Segenet</w:t>
      </w:r>
      <w:proofErr w:type="spellEnd"/>
      <w:r w:rsidRPr="008330A8">
        <w:rPr>
          <w:rFonts w:eastAsia="Times New Roman"/>
          <w:i/>
          <w:iCs/>
          <w:sz w:val="22"/>
        </w:rPr>
        <w:t xml:space="preserve"> Shiferaw</w:t>
      </w:r>
      <w:r w:rsidR="00333E90" w:rsidRPr="00333E90">
        <w:rPr>
          <w:rFonts w:eastAsia="Times New Roman"/>
          <w:i/>
          <w:iCs/>
          <w:sz w:val="22"/>
          <w:vertAlign w:val="superscript"/>
        </w:rPr>
        <w:t>1</w:t>
      </w:r>
      <w:r w:rsidR="006661ED" w:rsidRPr="008330A8">
        <w:rPr>
          <w:rFonts w:eastAsia="Times New Roman"/>
          <w:i/>
          <w:iCs/>
          <w:sz w:val="22"/>
        </w:rPr>
        <w:t>,</w:t>
      </w:r>
      <w:r w:rsidR="00333E90">
        <w:rPr>
          <w:rFonts w:eastAsia="Times New Roman"/>
          <w:i/>
          <w:iCs/>
          <w:sz w:val="22"/>
        </w:rPr>
        <w:t xml:space="preserve"> </w:t>
      </w:r>
      <w:proofErr w:type="spellStart"/>
      <w:r w:rsidR="006661ED" w:rsidRPr="008330A8">
        <w:rPr>
          <w:rFonts w:eastAsia="Times New Roman"/>
          <w:i/>
          <w:iCs/>
          <w:sz w:val="22"/>
        </w:rPr>
        <w:t>Nigus</w:t>
      </w:r>
      <w:proofErr w:type="spellEnd"/>
      <w:r w:rsidR="006661ED" w:rsidRPr="008330A8">
        <w:rPr>
          <w:rFonts w:eastAsia="Times New Roman"/>
          <w:i/>
          <w:iCs/>
          <w:sz w:val="22"/>
        </w:rPr>
        <w:t xml:space="preserve"> Gabbiye</w:t>
      </w:r>
      <w:bookmarkStart w:id="1" w:name="_Toc502677782"/>
      <w:bookmarkStart w:id="2" w:name="_Toc490251105"/>
      <w:r w:rsidR="00333E90" w:rsidRPr="00333E90">
        <w:rPr>
          <w:rFonts w:eastAsia="Times New Roman"/>
          <w:i/>
          <w:iCs/>
          <w:sz w:val="22"/>
          <w:vertAlign w:val="superscript"/>
        </w:rPr>
        <w:t>1</w:t>
      </w:r>
      <w:r w:rsidR="00333E90">
        <w:rPr>
          <w:rFonts w:eastAsia="Times New Roman"/>
          <w:i/>
          <w:iCs/>
          <w:sz w:val="22"/>
        </w:rPr>
        <w:t xml:space="preserve">, </w:t>
      </w:r>
      <w:proofErr w:type="spellStart"/>
      <w:r w:rsidR="003314BD" w:rsidRPr="008330A8">
        <w:rPr>
          <w:rFonts w:eastAsia="Times New Roman"/>
          <w:i/>
          <w:iCs/>
          <w:kern w:val="24"/>
          <w:sz w:val="22"/>
        </w:rPr>
        <w:t>Agegnehu</w:t>
      </w:r>
      <w:proofErr w:type="spellEnd"/>
      <w:r w:rsidR="003314BD" w:rsidRPr="008330A8">
        <w:rPr>
          <w:rFonts w:eastAsia="Times New Roman"/>
          <w:i/>
          <w:iCs/>
          <w:kern w:val="24"/>
          <w:sz w:val="22"/>
        </w:rPr>
        <w:t xml:space="preserve"> </w:t>
      </w:r>
      <w:r w:rsidR="00784FBD">
        <w:rPr>
          <w:i/>
          <w:iCs/>
          <w:sz w:val="22"/>
        </w:rPr>
        <w:t>Alemu</w:t>
      </w:r>
      <w:r w:rsidR="00F41C78">
        <w:rPr>
          <w:i/>
          <w:iCs/>
          <w:sz w:val="22"/>
          <w:vertAlign w:val="superscript"/>
        </w:rPr>
        <w:t>2,3*</w:t>
      </w:r>
      <w:bookmarkStart w:id="3" w:name="_GoBack"/>
      <w:bookmarkEnd w:id="3"/>
    </w:p>
    <w:p w14:paraId="44598F56" w14:textId="77777777" w:rsidR="00D91E74" w:rsidRPr="008330A8" w:rsidRDefault="004E1A3F" w:rsidP="008330A8">
      <w:pPr>
        <w:pStyle w:val="NoSpacing"/>
        <w:spacing w:line="360" w:lineRule="auto"/>
        <w:jc w:val="center"/>
        <w:rPr>
          <w:rFonts w:ascii="Times New Roman" w:hAnsi="Times New Roman"/>
          <w:i/>
          <w:iCs/>
          <w:sz w:val="22"/>
          <w:szCs w:val="22"/>
        </w:rPr>
      </w:pPr>
      <w:r w:rsidRPr="008330A8">
        <w:rPr>
          <w:rFonts w:ascii="Times New Roman" w:hAnsi="Times New Roman"/>
          <w:i/>
          <w:iCs/>
          <w:sz w:val="22"/>
          <w:szCs w:val="22"/>
          <w:vertAlign w:val="superscript"/>
        </w:rPr>
        <w:t>1</w:t>
      </w:r>
      <w:r w:rsidRPr="008330A8">
        <w:rPr>
          <w:rFonts w:ascii="Times New Roman" w:hAnsi="Times New Roman"/>
          <w:i/>
          <w:iCs/>
          <w:sz w:val="22"/>
          <w:szCs w:val="22"/>
        </w:rPr>
        <w:t>Faculty of Chemical and Food Engineering, Bahir Dar Institute of Technology, Bahir Dar University, P.O Box 26, Bahir Dar, Ethiopia</w:t>
      </w:r>
    </w:p>
    <w:p w14:paraId="3ADCC18A" w14:textId="77777777" w:rsidR="00D91E74" w:rsidRPr="008330A8" w:rsidRDefault="00D91E74" w:rsidP="008330A8">
      <w:pPr>
        <w:pStyle w:val="NoSpacing"/>
        <w:spacing w:line="360" w:lineRule="auto"/>
        <w:jc w:val="center"/>
        <w:rPr>
          <w:rFonts w:ascii="Times New Roman" w:hAnsi="Times New Roman"/>
          <w:i/>
          <w:iCs/>
          <w:sz w:val="22"/>
          <w:szCs w:val="22"/>
        </w:rPr>
      </w:pPr>
      <w:r w:rsidRPr="008330A8">
        <w:rPr>
          <w:rFonts w:ascii="Times New Roman" w:hAnsi="Times New Roman"/>
          <w:i/>
          <w:iCs/>
          <w:sz w:val="22"/>
          <w:szCs w:val="22"/>
          <w:vertAlign w:val="superscript"/>
        </w:rPr>
        <w:t>2</w:t>
      </w:r>
      <w:r w:rsidRPr="008330A8">
        <w:rPr>
          <w:rFonts w:ascii="Times New Roman" w:hAnsi="Times New Roman"/>
          <w:i/>
          <w:iCs/>
          <w:sz w:val="22"/>
          <w:szCs w:val="22"/>
        </w:rPr>
        <w:t>Bahir Dar University, College of Science, Department of Chemistry, P.O Box 79, Bahir Dar, Ethiopia</w:t>
      </w:r>
    </w:p>
    <w:p w14:paraId="41F9A92B" w14:textId="77777777" w:rsidR="00D91E74" w:rsidRPr="008330A8" w:rsidRDefault="00D91E74" w:rsidP="008330A8">
      <w:pPr>
        <w:pStyle w:val="NoSpacing"/>
        <w:spacing w:line="360" w:lineRule="auto"/>
        <w:jc w:val="center"/>
        <w:rPr>
          <w:rFonts w:ascii="Times New Roman" w:hAnsi="Times New Roman"/>
          <w:i/>
          <w:iCs/>
          <w:sz w:val="22"/>
          <w:szCs w:val="22"/>
        </w:rPr>
      </w:pPr>
      <w:r w:rsidRPr="008330A8">
        <w:rPr>
          <w:rFonts w:ascii="Times New Roman" w:hAnsi="Times New Roman"/>
          <w:i/>
          <w:iCs/>
          <w:sz w:val="22"/>
          <w:szCs w:val="22"/>
          <w:vertAlign w:val="superscript"/>
        </w:rPr>
        <w:t>3</w:t>
      </w:r>
      <w:r w:rsidRPr="008330A8">
        <w:rPr>
          <w:rFonts w:ascii="Times New Roman" w:hAnsi="Times New Roman"/>
          <w:i/>
          <w:iCs/>
          <w:sz w:val="22"/>
          <w:szCs w:val="22"/>
        </w:rPr>
        <w:t>Blue Nile Water Institute, Bahir Dar University, P.O Box 79, Bahir Dar, Ethiopia</w:t>
      </w:r>
    </w:p>
    <w:p w14:paraId="21DBAEE4" w14:textId="0183A24D" w:rsidR="00D91E74" w:rsidRPr="00956C5F" w:rsidRDefault="00D91E74" w:rsidP="00F97796">
      <w:pPr>
        <w:spacing w:after="0" w:line="360" w:lineRule="auto"/>
        <w:jc w:val="center"/>
        <w:rPr>
          <w:sz w:val="22"/>
        </w:rPr>
      </w:pPr>
      <w:r w:rsidRPr="00956C5F">
        <w:rPr>
          <w:sz w:val="22"/>
        </w:rPr>
        <w:t>*Corresponding author</w:t>
      </w:r>
      <w:r w:rsidR="00F97796">
        <w:rPr>
          <w:sz w:val="22"/>
        </w:rPr>
        <w:t>:</w:t>
      </w:r>
      <w:r w:rsidRPr="00956C5F">
        <w:rPr>
          <w:sz w:val="22"/>
        </w:rPr>
        <w:t xml:space="preserve"> agegn-bdu@yahoo.com; Mobile phone: +251918703142</w:t>
      </w:r>
    </w:p>
    <w:p w14:paraId="06DC87D2" w14:textId="77777777" w:rsidR="006E0F6E" w:rsidRPr="00956C5F" w:rsidRDefault="006E0F6E" w:rsidP="00956C5F">
      <w:pPr>
        <w:pStyle w:val="NoSpacing"/>
        <w:spacing w:line="360" w:lineRule="auto"/>
        <w:rPr>
          <w:rFonts w:ascii="Times New Roman" w:hAnsi="Times New Roman"/>
          <w:sz w:val="22"/>
          <w:szCs w:val="22"/>
        </w:rPr>
      </w:pPr>
    </w:p>
    <w:p w14:paraId="555349A5" w14:textId="77777777" w:rsidR="006661ED" w:rsidRPr="00956C5F" w:rsidRDefault="007B1030" w:rsidP="00956C5F">
      <w:pPr>
        <w:pStyle w:val="NoSpacing"/>
        <w:spacing w:line="360" w:lineRule="auto"/>
        <w:jc w:val="center"/>
        <w:rPr>
          <w:rFonts w:ascii="Times New Roman" w:hAnsi="Times New Roman"/>
          <w:b/>
          <w:sz w:val="24"/>
          <w:szCs w:val="24"/>
        </w:rPr>
      </w:pPr>
      <w:r w:rsidRPr="00956C5F">
        <w:rPr>
          <w:rFonts w:ascii="Times New Roman" w:hAnsi="Times New Roman"/>
          <w:b/>
          <w:sz w:val="24"/>
          <w:szCs w:val="24"/>
        </w:rPr>
        <w:t>Abstract</w:t>
      </w:r>
      <w:bookmarkEnd w:id="1"/>
    </w:p>
    <w:p w14:paraId="773D2E48" w14:textId="77777777" w:rsidR="006E0F6E" w:rsidRPr="00956C5F" w:rsidRDefault="006E0F6E" w:rsidP="00956C5F">
      <w:pPr>
        <w:pStyle w:val="NoSpacing"/>
        <w:spacing w:after="240" w:line="360" w:lineRule="auto"/>
        <w:jc w:val="both"/>
        <w:rPr>
          <w:rFonts w:ascii="Times New Roman" w:hAnsi="Times New Roman"/>
          <w:sz w:val="22"/>
          <w:szCs w:val="22"/>
        </w:rPr>
      </w:pPr>
      <w:r w:rsidRPr="00956C5F">
        <w:rPr>
          <w:rFonts w:ascii="Times New Roman" w:hAnsi="Times New Roman"/>
          <w:sz w:val="22"/>
          <w:szCs w:val="22"/>
        </w:rPr>
        <w:t xml:space="preserve">Chromium (VI) is among the most toxic and persistent pollutants in the environment. Due to its severe ecological and health impacts, extensive efforts have been devoted to identifying low-cost and eco-friendly adsorbents for its removal from wastewater. In this study, waste powdered marble chips were utilized as an adsorbent for the removal of chromium (VI) from aqueous solutions. The adsorbent was characterized using Fourier Transform Infrared Spectroscopy (FT-IR) and Powder X-ray Diffraction (XRD).Batch adsorption experiments were conducted to evaluate the efficiency of powdered marble waste in removing </w:t>
      </w:r>
      <w:r w:rsidR="007B1030" w:rsidRPr="00956C5F">
        <w:rPr>
          <w:rFonts w:ascii="Times New Roman" w:hAnsi="Times New Roman"/>
          <w:sz w:val="22"/>
          <w:szCs w:val="22"/>
        </w:rPr>
        <w:t>chromium (</w:t>
      </w:r>
      <w:r w:rsidRPr="00956C5F">
        <w:rPr>
          <w:rFonts w:ascii="Times New Roman" w:hAnsi="Times New Roman"/>
          <w:sz w:val="22"/>
          <w:szCs w:val="22"/>
        </w:rPr>
        <w:t xml:space="preserve">VI) ions. The experimental results indicated a maximum removal efficiency of </w:t>
      </w:r>
      <w:r w:rsidRPr="00956C5F">
        <w:rPr>
          <w:rFonts w:ascii="Times New Roman" w:hAnsi="Times New Roman"/>
          <w:bCs/>
          <w:sz w:val="22"/>
          <w:szCs w:val="22"/>
        </w:rPr>
        <w:t>98.15%</w:t>
      </w:r>
      <w:r w:rsidRPr="00956C5F">
        <w:rPr>
          <w:rFonts w:ascii="Times New Roman" w:hAnsi="Times New Roman"/>
          <w:sz w:val="22"/>
          <w:szCs w:val="22"/>
        </w:rPr>
        <w:t xml:space="preserve"> and an adsorption capacity (</w:t>
      </w:r>
      <w:r w:rsidRPr="00956C5F">
        <w:rPr>
          <w:rFonts w:ascii="Times New Roman" w:hAnsi="Times New Roman"/>
          <w:bCs/>
          <w:sz w:val="22"/>
          <w:szCs w:val="22"/>
        </w:rPr>
        <w:t>qₑ</w:t>
      </w:r>
      <w:r w:rsidRPr="00956C5F">
        <w:rPr>
          <w:rFonts w:ascii="Times New Roman" w:hAnsi="Times New Roman"/>
          <w:sz w:val="22"/>
          <w:szCs w:val="22"/>
        </w:rPr>
        <w:t xml:space="preserve">) of </w:t>
      </w:r>
      <w:r w:rsidRPr="00956C5F">
        <w:rPr>
          <w:rFonts w:ascii="Times New Roman" w:hAnsi="Times New Roman"/>
          <w:bCs/>
          <w:sz w:val="22"/>
          <w:szCs w:val="22"/>
        </w:rPr>
        <w:t>33.6 mg/g</w:t>
      </w:r>
      <w:r w:rsidRPr="00956C5F">
        <w:rPr>
          <w:rFonts w:ascii="Times New Roman" w:hAnsi="Times New Roman"/>
          <w:sz w:val="22"/>
          <w:szCs w:val="22"/>
        </w:rPr>
        <w:t xml:space="preserve"> under optimal conditions: </w:t>
      </w:r>
      <w:r w:rsidRPr="00956C5F">
        <w:rPr>
          <w:rFonts w:ascii="Times New Roman" w:hAnsi="Times New Roman"/>
          <w:bCs/>
          <w:sz w:val="22"/>
          <w:szCs w:val="22"/>
        </w:rPr>
        <w:t>pH 6</w:t>
      </w:r>
      <w:r w:rsidRPr="00956C5F">
        <w:rPr>
          <w:rFonts w:ascii="Times New Roman" w:hAnsi="Times New Roman"/>
          <w:sz w:val="22"/>
          <w:szCs w:val="22"/>
        </w:rPr>
        <w:t xml:space="preserve">, </w:t>
      </w:r>
      <w:r w:rsidRPr="00956C5F">
        <w:rPr>
          <w:rFonts w:ascii="Times New Roman" w:hAnsi="Times New Roman"/>
          <w:bCs/>
          <w:sz w:val="22"/>
          <w:szCs w:val="22"/>
        </w:rPr>
        <w:t>adsorbent dose 40 g/L</w:t>
      </w:r>
      <w:r w:rsidRPr="00956C5F">
        <w:rPr>
          <w:rFonts w:ascii="Times New Roman" w:hAnsi="Times New Roman"/>
          <w:sz w:val="22"/>
          <w:szCs w:val="22"/>
        </w:rPr>
        <w:t xml:space="preserve">, </w:t>
      </w:r>
      <w:r w:rsidRPr="00956C5F">
        <w:rPr>
          <w:rFonts w:ascii="Times New Roman" w:hAnsi="Times New Roman"/>
          <w:bCs/>
          <w:sz w:val="22"/>
          <w:szCs w:val="22"/>
        </w:rPr>
        <w:t xml:space="preserve">contact time 12 </w:t>
      </w:r>
      <w:r w:rsidR="007B1030" w:rsidRPr="00956C5F">
        <w:rPr>
          <w:rFonts w:ascii="Times New Roman" w:hAnsi="Times New Roman"/>
          <w:bCs/>
          <w:sz w:val="22"/>
          <w:szCs w:val="22"/>
        </w:rPr>
        <w:t>hours</w:t>
      </w:r>
      <w:r w:rsidRPr="00956C5F">
        <w:rPr>
          <w:rFonts w:ascii="Times New Roman" w:hAnsi="Times New Roman"/>
          <w:sz w:val="22"/>
          <w:szCs w:val="22"/>
        </w:rPr>
        <w:t xml:space="preserve">, </w:t>
      </w:r>
      <w:r w:rsidRPr="00956C5F">
        <w:rPr>
          <w:rFonts w:ascii="Times New Roman" w:hAnsi="Times New Roman"/>
          <w:bCs/>
          <w:sz w:val="22"/>
          <w:szCs w:val="22"/>
        </w:rPr>
        <w:t>initial concentration 20 mg/L</w:t>
      </w:r>
      <w:r w:rsidRPr="00956C5F">
        <w:rPr>
          <w:rFonts w:ascii="Times New Roman" w:hAnsi="Times New Roman"/>
          <w:sz w:val="22"/>
          <w:szCs w:val="22"/>
        </w:rPr>
        <w:t xml:space="preserve">, and </w:t>
      </w:r>
      <w:r w:rsidRPr="00956C5F">
        <w:rPr>
          <w:rFonts w:ascii="Times New Roman" w:hAnsi="Times New Roman"/>
          <w:bCs/>
          <w:sz w:val="22"/>
          <w:szCs w:val="22"/>
        </w:rPr>
        <w:t>temperature 55°C</w:t>
      </w:r>
      <w:r w:rsidRPr="00956C5F">
        <w:rPr>
          <w:rFonts w:ascii="Times New Roman" w:hAnsi="Times New Roman"/>
          <w:sz w:val="22"/>
          <w:szCs w:val="22"/>
        </w:rPr>
        <w:t>. The adsorption data were found to fit well with the Langmuir isotherm model.</w:t>
      </w:r>
      <w:r w:rsidR="007B1030" w:rsidRPr="00956C5F">
        <w:rPr>
          <w:rFonts w:ascii="Times New Roman" w:hAnsi="Times New Roman"/>
          <w:sz w:val="22"/>
          <w:szCs w:val="22"/>
        </w:rPr>
        <w:t xml:space="preserve"> </w:t>
      </w:r>
      <w:r w:rsidRPr="00956C5F">
        <w:rPr>
          <w:rFonts w:ascii="Times New Roman" w:hAnsi="Times New Roman"/>
          <w:sz w:val="22"/>
          <w:szCs w:val="22"/>
        </w:rPr>
        <w:t xml:space="preserve">Overall, the findings demonstrate that powdered marble waste is an efficient, economical, and environmentally friendly adsorbent for the removal of </w:t>
      </w:r>
      <w:r w:rsidR="007B1030" w:rsidRPr="00956C5F">
        <w:rPr>
          <w:rFonts w:ascii="Times New Roman" w:hAnsi="Times New Roman"/>
          <w:sz w:val="22"/>
          <w:szCs w:val="22"/>
        </w:rPr>
        <w:t>chromium (</w:t>
      </w:r>
      <w:r w:rsidRPr="00956C5F">
        <w:rPr>
          <w:rFonts w:ascii="Times New Roman" w:hAnsi="Times New Roman"/>
          <w:sz w:val="22"/>
          <w:szCs w:val="22"/>
        </w:rPr>
        <w:t>VI) from aqueous solutions. Further research is recommended using actual tannery wastewater to validate its performance under real-world conditions.</w:t>
      </w:r>
    </w:p>
    <w:p w14:paraId="01257D37" w14:textId="77777777" w:rsidR="006661ED" w:rsidRPr="00956C5F" w:rsidRDefault="007B1030" w:rsidP="00956C5F">
      <w:pPr>
        <w:spacing w:line="360" w:lineRule="auto"/>
        <w:jc w:val="both"/>
        <w:rPr>
          <w:sz w:val="22"/>
        </w:rPr>
      </w:pPr>
      <w:r w:rsidRPr="00956C5F">
        <w:rPr>
          <w:b/>
          <w:szCs w:val="24"/>
        </w:rPr>
        <w:t>Keywords</w:t>
      </w:r>
      <w:r w:rsidRPr="00956C5F">
        <w:rPr>
          <w:b/>
          <w:sz w:val="22"/>
        </w:rPr>
        <w:t xml:space="preserve">: </w:t>
      </w:r>
      <w:r w:rsidRPr="00956C5F">
        <w:rPr>
          <w:sz w:val="22"/>
        </w:rPr>
        <w:t>Cr (VI), Marble waste chips, Adsorption, Adsorption isotherm</w:t>
      </w:r>
    </w:p>
    <w:p w14:paraId="1641609A" w14:textId="77777777" w:rsidR="006661ED" w:rsidRPr="00956C5F" w:rsidRDefault="004046A1" w:rsidP="00956C5F">
      <w:pPr>
        <w:pStyle w:val="NoSpacing"/>
        <w:spacing w:before="240" w:line="360" w:lineRule="auto"/>
        <w:jc w:val="center"/>
        <w:rPr>
          <w:rFonts w:ascii="Times New Roman" w:hAnsi="Times New Roman"/>
          <w:b/>
          <w:bCs/>
          <w:sz w:val="24"/>
          <w:szCs w:val="24"/>
        </w:rPr>
      </w:pPr>
      <w:bookmarkStart w:id="4" w:name="_Toc476055458"/>
      <w:bookmarkStart w:id="5" w:name="_Toc476055459"/>
      <w:bookmarkStart w:id="6" w:name="_Toc490251111"/>
      <w:bookmarkStart w:id="7" w:name="_Toc502677789"/>
      <w:bookmarkEnd w:id="0"/>
      <w:bookmarkEnd w:id="2"/>
      <w:bookmarkEnd w:id="4"/>
      <w:r w:rsidRPr="00956C5F">
        <w:rPr>
          <w:rFonts w:ascii="Times New Roman" w:hAnsi="Times New Roman"/>
          <w:b/>
          <w:sz w:val="24"/>
          <w:szCs w:val="24"/>
        </w:rPr>
        <w:t>1. Introduction</w:t>
      </w:r>
    </w:p>
    <w:bookmarkEnd w:id="5"/>
    <w:bookmarkEnd w:id="6"/>
    <w:bookmarkEnd w:id="7"/>
    <w:p w14:paraId="6523C192" w14:textId="77777777" w:rsidR="00674474" w:rsidRPr="00956C5F" w:rsidRDefault="00674474" w:rsidP="00956C5F">
      <w:pPr>
        <w:pStyle w:val="NoSpacing"/>
        <w:spacing w:line="360" w:lineRule="auto"/>
        <w:jc w:val="both"/>
        <w:rPr>
          <w:rFonts w:ascii="Times New Roman" w:hAnsi="Times New Roman"/>
          <w:sz w:val="22"/>
          <w:szCs w:val="22"/>
        </w:rPr>
      </w:pPr>
      <w:r w:rsidRPr="00956C5F">
        <w:rPr>
          <w:rFonts w:ascii="Times New Roman" w:hAnsi="Times New Roman"/>
          <w:sz w:val="22"/>
          <w:szCs w:val="22"/>
        </w:rPr>
        <w:t xml:space="preserve">The discharge of industrial effluents containing heavy metals poses a serious risk to aquatic ecosystems. These inorganic pollutants are particularly concerning because they are non-biodegradable, highly mobile, and extremely toxic. Heavy metals can bioaccumulate in living organisms, including humans, leading to long-term health problems (Pan </w:t>
      </w:r>
      <w:r w:rsidRPr="00956C5F">
        <w:rPr>
          <w:rFonts w:ascii="Times New Roman" w:hAnsi="Times New Roman"/>
          <w:i/>
          <w:sz w:val="22"/>
          <w:szCs w:val="22"/>
        </w:rPr>
        <w:t>et al.,</w:t>
      </w:r>
      <w:r w:rsidRPr="00956C5F">
        <w:rPr>
          <w:rFonts w:ascii="Times New Roman" w:hAnsi="Times New Roman"/>
          <w:sz w:val="22"/>
          <w:szCs w:val="22"/>
        </w:rPr>
        <w:t xml:space="preserve"> 2006). Therefore, removing such contaminants from wastewater has become a critical environmental challenge.</w:t>
      </w:r>
    </w:p>
    <w:p w14:paraId="27C5EA46" w14:textId="77777777" w:rsidR="00674474" w:rsidRPr="00956C5F" w:rsidRDefault="00674474" w:rsidP="00956C5F">
      <w:pPr>
        <w:pStyle w:val="NormalWeb"/>
        <w:spacing w:line="360" w:lineRule="auto"/>
        <w:jc w:val="both"/>
        <w:rPr>
          <w:sz w:val="22"/>
          <w:szCs w:val="22"/>
        </w:rPr>
      </w:pPr>
      <w:r w:rsidRPr="00956C5F">
        <w:rPr>
          <w:sz w:val="22"/>
          <w:szCs w:val="22"/>
        </w:rPr>
        <w:lastRenderedPageBreak/>
        <w:t xml:space="preserve">Among these metals, chromium stands out as one of the most hazardous due to its extensive industrial applications and severe toxicity. Tannery wastewater is a primary source of chromium pollution, often causing discoloration and degradation of water bodies. In the chrome tanning process, nearly 40% of chromium salts remain unused and are released into the environment, resulting in considerable ecological and health hazards (Chowdhury </w:t>
      </w:r>
      <w:r w:rsidRPr="00956C5F">
        <w:rPr>
          <w:i/>
          <w:sz w:val="22"/>
          <w:szCs w:val="22"/>
        </w:rPr>
        <w:t>et al.,</w:t>
      </w:r>
      <w:r w:rsidRPr="00956C5F">
        <w:rPr>
          <w:sz w:val="22"/>
          <w:szCs w:val="22"/>
        </w:rPr>
        <w:t xml:space="preserve"> 2013). Chromium typically exists in two oxidation states: trivalent Cr (III) and hexavalent Cr (VI) ions, which vary significantly in chemical behavior and toxicity. While Cr (III) serves as an essential micronutrient at trace levels, Cr (VI) is extremely toxic, mutagenic, and carcinogenic (Sumathi </w:t>
      </w:r>
      <w:r w:rsidRPr="00956C5F">
        <w:rPr>
          <w:i/>
          <w:sz w:val="22"/>
          <w:szCs w:val="22"/>
        </w:rPr>
        <w:t>et al.,</w:t>
      </w:r>
      <w:r w:rsidRPr="00956C5F">
        <w:rPr>
          <w:sz w:val="22"/>
          <w:szCs w:val="22"/>
        </w:rPr>
        <w:t xml:space="preserve"> 2005; </w:t>
      </w:r>
      <w:proofErr w:type="spellStart"/>
      <w:r w:rsidRPr="00956C5F">
        <w:rPr>
          <w:sz w:val="22"/>
          <w:szCs w:val="22"/>
        </w:rPr>
        <w:t>Suwalsky</w:t>
      </w:r>
      <w:proofErr w:type="spellEnd"/>
      <w:r w:rsidRPr="00956C5F">
        <w:rPr>
          <w:sz w:val="22"/>
          <w:szCs w:val="22"/>
        </w:rPr>
        <w:t xml:space="preserve"> </w:t>
      </w:r>
      <w:r w:rsidRPr="00956C5F">
        <w:rPr>
          <w:i/>
          <w:sz w:val="22"/>
          <w:szCs w:val="22"/>
        </w:rPr>
        <w:t>et al.,</w:t>
      </w:r>
      <w:r w:rsidRPr="00956C5F">
        <w:rPr>
          <w:sz w:val="22"/>
          <w:szCs w:val="22"/>
        </w:rPr>
        <w:t xml:space="preserve"> 2008). The World Health Organization (WHO) sets the permissible chromium concentration at 0.1 mg/L for surface waters and 0.05 mg/L for drinking water (WHO, 2011). Exceeding these limits can cause liver damage, respiratory problems, and skin irritation (</w:t>
      </w:r>
      <w:proofErr w:type="spellStart"/>
      <w:r w:rsidRPr="00956C5F">
        <w:rPr>
          <w:sz w:val="22"/>
          <w:szCs w:val="22"/>
        </w:rPr>
        <w:t>Pokhrel</w:t>
      </w:r>
      <w:proofErr w:type="spellEnd"/>
      <w:r w:rsidRPr="00956C5F">
        <w:rPr>
          <w:sz w:val="22"/>
          <w:szCs w:val="22"/>
        </w:rPr>
        <w:t xml:space="preserve"> &amp; </w:t>
      </w:r>
      <w:proofErr w:type="spellStart"/>
      <w:r w:rsidRPr="00956C5F">
        <w:rPr>
          <w:sz w:val="22"/>
          <w:szCs w:val="22"/>
        </w:rPr>
        <w:t>Pokhre</w:t>
      </w:r>
      <w:proofErr w:type="spellEnd"/>
      <w:r w:rsidRPr="00956C5F">
        <w:rPr>
          <w:sz w:val="22"/>
          <w:szCs w:val="22"/>
        </w:rPr>
        <w:t>, 2022).</w:t>
      </w:r>
    </w:p>
    <w:p w14:paraId="6EB954B2" w14:textId="77777777" w:rsidR="00674474" w:rsidRPr="00956C5F" w:rsidRDefault="00674474" w:rsidP="00956C5F">
      <w:pPr>
        <w:pStyle w:val="NormalWeb"/>
        <w:spacing w:line="360" w:lineRule="auto"/>
        <w:jc w:val="both"/>
        <w:rPr>
          <w:sz w:val="22"/>
          <w:szCs w:val="22"/>
        </w:rPr>
      </w:pPr>
      <w:r w:rsidRPr="00956C5F">
        <w:rPr>
          <w:sz w:val="22"/>
          <w:szCs w:val="22"/>
        </w:rPr>
        <w:t>Several treatment methods including chemical precipitation, coagulation, electrocoagulation, ion exchange, reduction, membrane filtration, and adsorption have been applied for the removal of chromium from wastewater (</w:t>
      </w:r>
      <w:proofErr w:type="spellStart"/>
      <w:r w:rsidRPr="00956C5F">
        <w:rPr>
          <w:sz w:val="22"/>
          <w:szCs w:val="22"/>
        </w:rPr>
        <w:t>Owlad</w:t>
      </w:r>
      <w:proofErr w:type="spellEnd"/>
      <w:r w:rsidRPr="00956C5F">
        <w:rPr>
          <w:sz w:val="22"/>
          <w:szCs w:val="22"/>
        </w:rPr>
        <w:t xml:space="preserve">, 2008). While these methods are generally effective, they often involve high operational costs, complex procedures, and the generation of secondary waste. Among them, adsorption has emerged as a preferred approach due to its simplicity, efficiency, and cost-effectiveness, particularly for treating wastewater containing low metal ion concentrations (Alemu </w:t>
      </w:r>
      <w:r w:rsidRPr="00956C5F">
        <w:rPr>
          <w:i/>
          <w:sz w:val="22"/>
          <w:szCs w:val="22"/>
        </w:rPr>
        <w:t>et al.,</w:t>
      </w:r>
      <w:r w:rsidRPr="00956C5F">
        <w:rPr>
          <w:sz w:val="22"/>
          <w:szCs w:val="22"/>
        </w:rPr>
        <w:t xml:space="preserve"> 2018). Nevertheless, the expensive nature of commercial adsorbents restricts their large-scale application, prompting increased interest in developing low-cost adsorbents from natural and waste materials (Yu </w:t>
      </w:r>
      <w:r w:rsidRPr="00956C5F">
        <w:rPr>
          <w:i/>
          <w:sz w:val="22"/>
          <w:szCs w:val="22"/>
        </w:rPr>
        <w:t>et al.,</w:t>
      </w:r>
      <w:r w:rsidRPr="00956C5F">
        <w:rPr>
          <w:sz w:val="22"/>
          <w:szCs w:val="22"/>
        </w:rPr>
        <w:t xml:space="preserve"> 2000, Alemu </w:t>
      </w:r>
      <w:r w:rsidRPr="00956C5F">
        <w:rPr>
          <w:i/>
          <w:sz w:val="22"/>
          <w:szCs w:val="22"/>
        </w:rPr>
        <w:t>et al.,</w:t>
      </w:r>
      <w:r w:rsidRPr="00956C5F">
        <w:rPr>
          <w:sz w:val="22"/>
          <w:szCs w:val="22"/>
        </w:rPr>
        <w:t xml:space="preserve"> 2018). Agricultural wastes, industrial residues, and biosorbents have demonstrated significant potential as sustainable and economical alternatives (Alemu </w:t>
      </w:r>
      <w:r w:rsidRPr="00956C5F">
        <w:rPr>
          <w:i/>
          <w:sz w:val="22"/>
          <w:szCs w:val="22"/>
        </w:rPr>
        <w:t>et al.,</w:t>
      </w:r>
      <w:r w:rsidRPr="00956C5F">
        <w:rPr>
          <w:sz w:val="22"/>
          <w:szCs w:val="22"/>
        </w:rPr>
        <w:t xml:space="preserve"> 2019).</w:t>
      </w:r>
    </w:p>
    <w:p w14:paraId="56F325A0" w14:textId="77777777" w:rsidR="00674474" w:rsidRPr="00956C5F" w:rsidRDefault="00674474" w:rsidP="00956C5F">
      <w:pPr>
        <w:pStyle w:val="NormalWeb"/>
        <w:spacing w:line="360" w:lineRule="auto"/>
        <w:jc w:val="both"/>
        <w:rPr>
          <w:sz w:val="22"/>
          <w:szCs w:val="22"/>
        </w:rPr>
      </w:pPr>
      <w:r w:rsidRPr="00956C5F">
        <w:rPr>
          <w:sz w:val="22"/>
          <w:szCs w:val="22"/>
        </w:rPr>
        <w:t>In developing countries like Ethiopia, untreated tannery effluents are frequently discharged into water bodies, causing significant chromium contamination. Studies indicated that abundant agricultural and industrial wastes are showing high treatment potential of chromium from wastewater. A study has demonstrated that marble waste can effectively adsorb different heavy metals from aqueous solutions (</w:t>
      </w:r>
      <w:proofErr w:type="spellStart"/>
      <w:r w:rsidRPr="00956C5F">
        <w:rPr>
          <w:sz w:val="22"/>
          <w:szCs w:val="22"/>
        </w:rPr>
        <w:t>Ghazy</w:t>
      </w:r>
      <w:proofErr w:type="spellEnd"/>
      <w:r w:rsidRPr="00956C5F">
        <w:rPr>
          <w:sz w:val="22"/>
          <w:szCs w:val="22"/>
        </w:rPr>
        <w:t xml:space="preserve"> </w:t>
      </w:r>
      <w:r w:rsidRPr="00956C5F">
        <w:rPr>
          <w:i/>
          <w:sz w:val="22"/>
          <w:szCs w:val="22"/>
        </w:rPr>
        <w:t>et al.,</w:t>
      </w:r>
      <w:r w:rsidRPr="00956C5F">
        <w:rPr>
          <w:sz w:val="22"/>
          <w:szCs w:val="22"/>
        </w:rPr>
        <w:t xml:space="preserve"> 2003, </w:t>
      </w:r>
      <w:r w:rsidRPr="00956C5F">
        <w:rPr>
          <w:color w:val="222222"/>
          <w:sz w:val="22"/>
          <w:szCs w:val="22"/>
          <w:shd w:val="clear" w:color="auto" w:fill="FFFFFF"/>
        </w:rPr>
        <w:t xml:space="preserve">Wazwaz </w:t>
      </w:r>
      <w:r w:rsidRPr="00956C5F">
        <w:rPr>
          <w:i/>
          <w:color w:val="222222"/>
          <w:sz w:val="22"/>
          <w:szCs w:val="22"/>
          <w:shd w:val="clear" w:color="auto" w:fill="FFFFFF"/>
        </w:rPr>
        <w:t>et al.,</w:t>
      </w:r>
      <w:r w:rsidRPr="00956C5F">
        <w:rPr>
          <w:color w:val="222222"/>
          <w:sz w:val="22"/>
          <w:szCs w:val="22"/>
          <w:shd w:val="clear" w:color="auto" w:fill="FFFFFF"/>
        </w:rPr>
        <w:t xml:space="preserve"> 2019</w:t>
      </w:r>
      <w:r w:rsidRPr="00956C5F">
        <w:rPr>
          <w:sz w:val="22"/>
          <w:szCs w:val="22"/>
        </w:rPr>
        <w:t>). Therefore, investigating the use of locally available marble waste from industrial processing in Bahir Dar City for Cr (VI) adsorption offers both economic and environmental benefits. This study aims to optimize critical parameters including adsorbent dose, contact time, pH, temperature, and initial chromium concentration and to analyze adsorption isotherms to improve chromium removal efficiency.</w:t>
      </w:r>
    </w:p>
    <w:p w14:paraId="48F759CB" w14:textId="77777777" w:rsidR="006661ED" w:rsidRPr="00C92AFF" w:rsidRDefault="00596896" w:rsidP="00956C5F">
      <w:pPr>
        <w:pStyle w:val="Heading1"/>
        <w:tabs>
          <w:tab w:val="left" w:pos="5970"/>
        </w:tabs>
        <w:spacing w:line="360" w:lineRule="auto"/>
        <w:rPr>
          <w:rFonts w:ascii="Times New Roman" w:hAnsi="Times New Roman"/>
          <w:color w:val="auto"/>
          <w:sz w:val="24"/>
          <w:szCs w:val="24"/>
        </w:rPr>
      </w:pPr>
      <w:bookmarkStart w:id="8" w:name="_Toc490251138"/>
      <w:bookmarkStart w:id="9" w:name="_Toc502677820"/>
      <w:r w:rsidRPr="00C92AFF">
        <w:rPr>
          <w:rFonts w:ascii="Times New Roman" w:hAnsi="Times New Roman"/>
          <w:color w:val="auto"/>
          <w:sz w:val="24"/>
          <w:szCs w:val="24"/>
          <w:lang w:val="en-US"/>
        </w:rPr>
        <w:lastRenderedPageBreak/>
        <w:t xml:space="preserve">2. </w:t>
      </w:r>
      <w:r w:rsidR="00323F2F" w:rsidRPr="00C92AFF">
        <w:rPr>
          <w:rFonts w:ascii="Times New Roman" w:hAnsi="Times New Roman"/>
          <w:color w:val="auto"/>
          <w:sz w:val="24"/>
          <w:szCs w:val="24"/>
        </w:rPr>
        <w:t xml:space="preserve">Materials </w:t>
      </w:r>
      <w:r w:rsidR="00323F2F" w:rsidRPr="00C92AFF">
        <w:rPr>
          <w:rFonts w:ascii="Times New Roman" w:hAnsi="Times New Roman"/>
          <w:color w:val="auto"/>
          <w:sz w:val="24"/>
          <w:szCs w:val="24"/>
          <w:lang w:val="en-US"/>
        </w:rPr>
        <w:t>a</w:t>
      </w:r>
      <w:proofErr w:type="spellStart"/>
      <w:r w:rsidR="00323F2F" w:rsidRPr="00C92AFF">
        <w:rPr>
          <w:rFonts w:ascii="Times New Roman" w:hAnsi="Times New Roman"/>
          <w:color w:val="auto"/>
          <w:sz w:val="24"/>
          <w:szCs w:val="24"/>
        </w:rPr>
        <w:t>nd</w:t>
      </w:r>
      <w:proofErr w:type="spellEnd"/>
      <w:r w:rsidR="00323F2F" w:rsidRPr="00C92AFF">
        <w:rPr>
          <w:rFonts w:ascii="Times New Roman" w:hAnsi="Times New Roman"/>
          <w:color w:val="auto"/>
          <w:sz w:val="24"/>
          <w:szCs w:val="24"/>
        </w:rPr>
        <w:t xml:space="preserve"> Methods</w:t>
      </w:r>
      <w:bookmarkEnd w:id="8"/>
      <w:bookmarkEnd w:id="9"/>
      <w:r w:rsidRPr="00C92AFF">
        <w:rPr>
          <w:rFonts w:ascii="Times New Roman" w:hAnsi="Times New Roman"/>
          <w:color w:val="auto"/>
          <w:sz w:val="24"/>
          <w:szCs w:val="24"/>
        </w:rPr>
        <w:tab/>
      </w:r>
    </w:p>
    <w:p w14:paraId="543CA573" w14:textId="77777777" w:rsidR="006661ED" w:rsidRPr="00956C5F" w:rsidRDefault="00596896" w:rsidP="00956C5F">
      <w:pPr>
        <w:tabs>
          <w:tab w:val="left" w:pos="200"/>
        </w:tabs>
        <w:spacing w:after="0" w:line="360" w:lineRule="auto"/>
        <w:rPr>
          <w:b/>
          <w:sz w:val="22"/>
        </w:rPr>
      </w:pPr>
      <w:bookmarkStart w:id="10" w:name="_Toc502677821"/>
      <w:r w:rsidRPr="00956C5F">
        <w:rPr>
          <w:b/>
          <w:sz w:val="22"/>
        </w:rPr>
        <w:t xml:space="preserve">2.1 </w:t>
      </w:r>
      <w:r w:rsidR="00095334" w:rsidRPr="00956C5F">
        <w:rPr>
          <w:b/>
          <w:sz w:val="22"/>
        </w:rPr>
        <w:t>Materials</w:t>
      </w:r>
      <w:r w:rsidR="006661ED" w:rsidRPr="00956C5F">
        <w:rPr>
          <w:b/>
          <w:sz w:val="22"/>
        </w:rPr>
        <w:t xml:space="preserve"> </w:t>
      </w:r>
      <w:r w:rsidR="00095334" w:rsidRPr="00956C5F">
        <w:rPr>
          <w:b/>
          <w:sz w:val="22"/>
        </w:rPr>
        <w:t>and</w:t>
      </w:r>
      <w:r w:rsidR="006661ED" w:rsidRPr="00956C5F">
        <w:rPr>
          <w:b/>
          <w:sz w:val="22"/>
        </w:rPr>
        <w:t xml:space="preserve"> </w:t>
      </w:r>
      <w:bookmarkEnd w:id="10"/>
      <w:r w:rsidR="00095334" w:rsidRPr="00956C5F">
        <w:rPr>
          <w:b/>
          <w:sz w:val="22"/>
        </w:rPr>
        <w:t>Reagents</w:t>
      </w:r>
    </w:p>
    <w:p w14:paraId="35A40B6A" w14:textId="77777777" w:rsidR="003020D1" w:rsidRPr="00956C5F" w:rsidRDefault="006661ED" w:rsidP="00956C5F">
      <w:pPr>
        <w:autoSpaceDE w:val="0"/>
        <w:autoSpaceDN w:val="0"/>
        <w:adjustRightInd w:val="0"/>
        <w:spacing w:after="0" w:line="360" w:lineRule="auto"/>
        <w:jc w:val="both"/>
        <w:rPr>
          <w:sz w:val="22"/>
        </w:rPr>
      </w:pPr>
      <w:r w:rsidRPr="00956C5F">
        <w:rPr>
          <w:sz w:val="22"/>
        </w:rPr>
        <w:t xml:space="preserve">Sodium hydroxide </w:t>
      </w:r>
      <w:r w:rsidR="00674474" w:rsidRPr="00956C5F">
        <w:rPr>
          <w:sz w:val="22"/>
        </w:rPr>
        <w:t>pellet</w:t>
      </w:r>
      <w:r w:rsidR="00241161" w:rsidRPr="00956C5F">
        <w:rPr>
          <w:sz w:val="22"/>
        </w:rPr>
        <w:t xml:space="preserve">, 98 % purity </w:t>
      </w:r>
      <w:r w:rsidRPr="00956C5F">
        <w:rPr>
          <w:sz w:val="22"/>
        </w:rPr>
        <w:t>(</w:t>
      </w:r>
      <w:r w:rsidR="00BD0E62" w:rsidRPr="00956C5F">
        <w:rPr>
          <w:sz w:val="22"/>
        </w:rPr>
        <w:t>SDF</w:t>
      </w:r>
      <w:r w:rsidR="00241161" w:rsidRPr="00956C5F">
        <w:rPr>
          <w:sz w:val="22"/>
        </w:rPr>
        <w:t>C</w:t>
      </w:r>
      <w:r w:rsidR="00BD0E62" w:rsidRPr="00956C5F">
        <w:rPr>
          <w:sz w:val="22"/>
        </w:rPr>
        <w:t>L</w:t>
      </w:r>
      <w:r w:rsidR="00241161" w:rsidRPr="00956C5F">
        <w:rPr>
          <w:sz w:val="22"/>
        </w:rPr>
        <w:t>, India</w:t>
      </w:r>
      <w:r w:rsidRPr="00956C5F">
        <w:rPr>
          <w:sz w:val="22"/>
        </w:rPr>
        <w:t>) and hydrochloric acid</w:t>
      </w:r>
      <w:r w:rsidR="00241161" w:rsidRPr="00956C5F">
        <w:rPr>
          <w:sz w:val="22"/>
        </w:rPr>
        <w:t xml:space="preserve">, 37% </w:t>
      </w:r>
      <w:r w:rsidRPr="00956C5F">
        <w:rPr>
          <w:sz w:val="22"/>
        </w:rPr>
        <w:t xml:space="preserve"> </w:t>
      </w:r>
      <w:r w:rsidR="00241161" w:rsidRPr="00956C5F">
        <w:rPr>
          <w:sz w:val="22"/>
        </w:rPr>
        <w:t xml:space="preserve"> for pH adjustments. </w:t>
      </w:r>
      <w:r w:rsidR="0087386E" w:rsidRPr="00956C5F">
        <w:rPr>
          <w:sz w:val="22"/>
        </w:rPr>
        <w:t>P</w:t>
      </w:r>
      <w:r w:rsidRPr="00956C5F">
        <w:rPr>
          <w:sz w:val="22"/>
        </w:rPr>
        <w:t>otassium dichromate K</w:t>
      </w:r>
      <w:r w:rsidRPr="00956C5F">
        <w:rPr>
          <w:sz w:val="22"/>
          <w:vertAlign w:val="subscript"/>
        </w:rPr>
        <w:t>2</w:t>
      </w:r>
      <w:r w:rsidRPr="00956C5F">
        <w:rPr>
          <w:sz w:val="22"/>
        </w:rPr>
        <w:t>Cr</w:t>
      </w:r>
      <w:r w:rsidRPr="00956C5F">
        <w:rPr>
          <w:sz w:val="22"/>
          <w:vertAlign w:val="subscript"/>
        </w:rPr>
        <w:t>2</w:t>
      </w:r>
      <w:r w:rsidRPr="00956C5F">
        <w:rPr>
          <w:sz w:val="22"/>
        </w:rPr>
        <w:t>O</w:t>
      </w:r>
      <w:r w:rsidRPr="00956C5F">
        <w:rPr>
          <w:sz w:val="22"/>
          <w:vertAlign w:val="subscript"/>
        </w:rPr>
        <w:t>7</w:t>
      </w:r>
      <w:r w:rsidRPr="00956C5F">
        <w:rPr>
          <w:sz w:val="22"/>
        </w:rPr>
        <w:t xml:space="preserve"> (99.5%</w:t>
      </w:r>
      <w:r w:rsidR="0087386E" w:rsidRPr="00956C5F">
        <w:rPr>
          <w:sz w:val="22"/>
        </w:rPr>
        <w:t>, India</w:t>
      </w:r>
      <w:r w:rsidRPr="00956C5F">
        <w:rPr>
          <w:sz w:val="22"/>
        </w:rPr>
        <w:t>), was used as a model compound to stimulate the industrial waste. Buffer solutions (pH=4, pH=6.9, pH=10) to calibrate pH meter</w:t>
      </w:r>
      <w:r w:rsidRPr="00956C5F">
        <w:rPr>
          <w:bCs/>
          <w:iCs/>
          <w:sz w:val="22"/>
        </w:rPr>
        <w:t>.</w:t>
      </w:r>
      <w:r w:rsidR="00BD0E62" w:rsidRPr="00956C5F">
        <w:rPr>
          <w:sz w:val="22"/>
        </w:rPr>
        <w:t xml:space="preserve"> Deionized water used for sample preparation, and also for dilution of the reagents and rinsing purposes. </w:t>
      </w:r>
      <w:r w:rsidR="003020D1" w:rsidRPr="00956C5F">
        <w:rPr>
          <w:sz w:val="22"/>
        </w:rPr>
        <w:t xml:space="preserve">Marble chips waste from the marble processing industry was collected. The sources of the marble rock are from the western Ethiopia around </w:t>
      </w:r>
      <w:proofErr w:type="spellStart"/>
      <w:r w:rsidR="003020D1" w:rsidRPr="00956C5F">
        <w:rPr>
          <w:sz w:val="22"/>
        </w:rPr>
        <w:t>Daleti</w:t>
      </w:r>
      <w:proofErr w:type="spellEnd"/>
      <w:r w:rsidR="003020D1" w:rsidRPr="00956C5F">
        <w:rPr>
          <w:sz w:val="22"/>
        </w:rPr>
        <w:t xml:space="preserve">, </w:t>
      </w:r>
      <w:proofErr w:type="spellStart"/>
      <w:r w:rsidR="003020D1" w:rsidRPr="00956C5F">
        <w:rPr>
          <w:sz w:val="22"/>
        </w:rPr>
        <w:t>Bulen</w:t>
      </w:r>
      <w:proofErr w:type="spellEnd"/>
      <w:r w:rsidR="003020D1" w:rsidRPr="00956C5F">
        <w:rPr>
          <w:sz w:val="22"/>
        </w:rPr>
        <w:t xml:space="preserve">, Mora, </w:t>
      </w:r>
      <w:proofErr w:type="spellStart"/>
      <w:r w:rsidR="003020D1" w:rsidRPr="00956C5F">
        <w:rPr>
          <w:sz w:val="22"/>
        </w:rPr>
        <w:t>Zigi</w:t>
      </w:r>
      <w:proofErr w:type="spellEnd"/>
      <w:r w:rsidR="003020D1" w:rsidRPr="00956C5F">
        <w:rPr>
          <w:sz w:val="22"/>
        </w:rPr>
        <w:t xml:space="preserve">, </w:t>
      </w:r>
      <w:proofErr w:type="spellStart"/>
      <w:r w:rsidR="003020D1" w:rsidRPr="00956C5F">
        <w:rPr>
          <w:sz w:val="22"/>
        </w:rPr>
        <w:t>Baruda</w:t>
      </w:r>
      <w:proofErr w:type="spellEnd"/>
      <w:r w:rsidR="003020D1" w:rsidRPr="00956C5F">
        <w:rPr>
          <w:sz w:val="22"/>
        </w:rPr>
        <w:t xml:space="preserve"> and </w:t>
      </w:r>
      <w:proofErr w:type="spellStart"/>
      <w:r w:rsidR="003020D1" w:rsidRPr="00956C5F">
        <w:rPr>
          <w:sz w:val="22"/>
        </w:rPr>
        <w:t>Mankush.</w:t>
      </w:r>
      <w:r w:rsidR="00C3358E" w:rsidRPr="00956C5F">
        <w:rPr>
          <w:sz w:val="22"/>
        </w:rPr>
        <w:t>The</w:t>
      </w:r>
      <w:proofErr w:type="spellEnd"/>
      <w:r w:rsidR="00C3358E" w:rsidRPr="00956C5F">
        <w:rPr>
          <w:sz w:val="22"/>
        </w:rPr>
        <w:t xml:space="preserve"> powdered marble chips waste used in this study is shown in </w:t>
      </w:r>
      <w:r w:rsidR="00C3358E" w:rsidRPr="00956C5F">
        <w:rPr>
          <w:b/>
          <w:sz w:val="22"/>
        </w:rPr>
        <w:t>Figure 1</w:t>
      </w:r>
      <w:r w:rsidR="00C3358E" w:rsidRPr="00956C5F">
        <w:rPr>
          <w:sz w:val="22"/>
        </w:rPr>
        <w:t>.</w:t>
      </w:r>
    </w:p>
    <w:p w14:paraId="7156A4CA" w14:textId="77777777" w:rsidR="00C3358E" w:rsidRPr="00956C5F" w:rsidRDefault="00C3358E" w:rsidP="00956C5F">
      <w:pPr>
        <w:autoSpaceDE w:val="0"/>
        <w:autoSpaceDN w:val="0"/>
        <w:adjustRightInd w:val="0"/>
        <w:spacing w:after="0" w:line="360" w:lineRule="auto"/>
        <w:jc w:val="both"/>
        <w:rPr>
          <w:sz w:val="22"/>
        </w:rPr>
      </w:pPr>
    </w:p>
    <w:p w14:paraId="23FCDDEF" w14:textId="77777777" w:rsidR="00C3358E" w:rsidRPr="00956C5F" w:rsidRDefault="00C3358E" w:rsidP="00956C5F">
      <w:pPr>
        <w:autoSpaceDE w:val="0"/>
        <w:autoSpaceDN w:val="0"/>
        <w:adjustRightInd w:val="0"/>
        <w:spacing w:after="0" w:line="360" w:lineRule="auto"/>
        <w:jc w:val="center"/>
        <w:rPr>
          <w:sz w:val="22"/>
        </w:rPr>
      </w:pPr>
      <w:r w:rsidRPr="00956C5F">
        <w:rPr>
          <w:noProof/>
          <w:sz w:val="22"/>
        </w:rPr>
        <w:drawing>
          <wp:inline distT="0" distB="0" distL="0" distR="0" wp14:anchorId="1A0979A1" wp14:editId="788BC597">
            <wp:extent cx="3104783" cy="2044380"/>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6717" cy="2052238"/>
                    </a:xfrm>
                    <a:prstGeom prst="rect">
                      <a:avLst/>
                    </a:prstGeom>
                    <a:noFill/>
                    <a:ln>
                      <a:noFill/>
                    </a:ln>
                  </pic:spPr>
                </pic:pic>
              </a:graphicData>
            </a:graphic>
          </wp:inline>
        </w:drawing>
      </w:r>
    </w:p>
    <w:p w14:paraId="36DAD9BD" w14:textId="77777777" w:rsidR="00C3358E" w:rsidRPr="00956C5F" w:rsidRDefault="00C3358E" w:rsidP="00956C5F">
      <w:pPr>
        <w:spacing w:line="360" w:lineRule="auto"/>
        <w:rPr>
          <w:b/>
          <w:sz w:val="22"/>
        </w:rPr>
      </w:pPr>
      <w:r w:rsidRPr="00956C5F">
        <w:rPr>
          <w:b/>
          <w:sz w:val="22"/>
        </w:rPr>
        <w:t xml:space="preserve">Figure 1.  </w:t>
      </w:r>
      <w:r w:rsidRPr="00956C5F">
        <w:rPr>
          <w:sz w:val="22"/>
        </w:rPr>
        <w:t>Powdered marble chips waste used for Cr (VI) adsorption.</w:t>
      </w:r>
    </w:p>
    <w:p w14:paraId="04DFFF2E" w14:textId="77777777" w:rsidR="006661ED" w:rsidRPr="00956C5F" w:rsidRDefault="002C1D77" w:rsidP="00956C5F">
      <w:pPr>
        <w:pStyle w:val="Heading2"/>
        <w:spacing w:line="360" w:lineRule="auto"/>
        <w:rPr>
          <w:rFonts w:ascii="Times New Roman" w:hAnsi="Times New Roman"/>
          <w:color w:val="auto"/>
          <w:sz w:val="22"/>
          <w:szCs w:val="22"/>
        </w:rPr>
      </w:pPr>
      <w:bookmarkStart w:id="11" w:name="_Toc502677822"/>
      <w:r w:rsidRPr="00956C5F">
        <w:rPr>
          <w:rFonts w:ascii="Times New Roman" w:hAnsi="Times New Roman"/>
          <w:color w:val="auto"/>
          <w:sz w:val="22"/>
          <w:szCs w:val="22"/>
          <w:lang w:val="en-US"/>
        </w:rPr>
        <w:t>2</w:t>
      </w:r>
      <w:r w:rsidR="006661ED" w:rsidRPr="00956C5F">
        <w:rPr>
          <w:rFonts w:ascii="Times New Roman" w:hAnsi="Times New Roman"/>
          <w:color w:val="auto"/>
          <w:sz w:val="22"/>
          <w:szCs w:val="22"/>
        </w:rPr>
        <w:t>.2 Equipment’s used in this study</w:t>
      </w:r>
      <w:bookmarkEnd w:id="11"/>
    </w:p>
    <w:p w14:paraId="204D412F" w14:textId="77777777" w:rsidR="006661ED" w:rsidRPr="00956C5F" w:rsidRDefault="006661ED" w:rsidP="00956C5F">
      <w:pPr>
        <w:autoSpaceDE w:val="0"/>
        <w:autoSpaceDN w:val="0"/>
        <w:adjustRightInd w:val="0"/>
        <w:spacing w:after="0" w:line="360" w:lineRule="auto"/>
        <w:jc w:val="both"/>
        <w:rPr>
          <w:sz w:val="22"/>
        </w:rPr>
      </w:pPr>
      <w:r w:rsidRPr="00956C5F">
        <w:rPr>
          <w:bCs/>
          <w:sz w:val="22"/>
        </w:rPr>
        <w:t>ICP-Spectrometer (ULTIMA-2, Horiba)</w:t>
      </w:r>
      <w:r w:rsidRPr="00956C5F">
        <w:rPr>
          <w:sz w:val="22"/>
        </w:rPr>
        <w:t xml:space="preserve">, provided with, Power: 1150, Plasma Flow: PL2, Sheath Flow: G3, Auxiliary Flow: AUX, Pump Speed: 30, Nebulizer Flow: 0.66, Nebulizer Pressure: 1.77 at wavelength of 267.716nm was used for the determination of chromium concentration. The IR analyses were undertaken with Transform JASCO MODEL 4100 FT-IR spectrophotometer using KBr disc method to analyze the functional groups of powdered marble samples. </w:t>
      </w:r>
      <w:r w:rsidR="0087386E" w:rsidRPr="00956C5F">
        <w:rPr>
          <w:sz w:val="22"/>
        </w:rPr>
        <w:t>p</w:t>
      </w:r>
      <w:r w:rsidRPr="00956C5F">
        <w:rPr>
          <w:sz w:val="22"/>
        </w:rPr>
        <w:t xml:space="preserve">H measurements were performed with Bonte 901-uk pH meter, provided with a glass electrode. Stirring of solutions was carried out with a water bath shaker (SW22.SW22, JULABO Labortechnik GmbH 77960 seelbach/Germany). Water deionizer (Master-DUVF) used to water purification. </w:t>
      </w:r>
    </w:p>
    <w:p w14:paraId="4ECA67C3" w14:textId="77777777" w:rsidR="006661ED" w:rsidRPr="00956C5F" w:rsidRDefault="002C1D77" w:rsidP="00956C5F">
      <w:pPr>
        <w:pStyle w:val="Heading2"/>
        <w:tabs>
          <w:tab w:val="left" w:pos="7191"/>
        </w:tabs>
        <w:spacing w:line="360" w:lineRule="auto"/>
        <w:jc w:val="both"/>
        <w:rPr>
          <w:rFonts w:ascii="Times New Roman" w:hAnsi="Times New Roman"/>
          <w:color w:val="auto"/>
          <w:sz w:val="22"/>
          <w:szCs w:val="22"/>
        </w:rPr>
      </w:pPr>
      <w:bookmarkStart w:id="12" w:name="_Toc490251139"/>
      <w:bookmarkStart w:id="13" w:name="_Toc502677823"/>
      <w:r w:rsidRPr="00956C5F">
        <w:rPr>
          <w:rFonts w:ascii="Times New Roman" w:hAnsi="Times New Roman"/>
          <w:color w:val="auto"/>
          <w:sz w:val="22"/>
          <w:szCs w:val="22"/>
          <w:lang w:val="en-US"/>
        </w:rPr>
        <w:t>2</w:t>
      </w:r>
      <w:r w:rsidR="006661ED" w:rsidRPr="00956C5F">
        <w:rPr>
          <w:rFonts w:ascii="Times New Roman" w:hAnsi="Times New Roman"/>
          <w:color w:val="auto"/>
          <w:sz w:val="22"/>
          <w:szCs w:val="22"/>
        </w:rPr>
        <w:t>.3 Adsorbent preparation</w:t>
      </w:r>
      <w:bookmarkEnd w:id="12"/>
      <w:bookmarkEnd w:id="13"/>
      <w:r w:rsidR="00E939AF" w:rsidRPr="00956C5F">
        <w:rPr>
          <w:rFonts w:ascii="Times New Roman" w:hAnsi="Times New Roman"/>
          <w:color w:val="auto"/>
          <w:sz w:val="22"/>
          <w:szCs w:val="22"/>
          <w:lang w:val="en-US"/>
        </w:rPr>
        <w:t xml:space="preserve"> from marble chips</w:t>
      </w:r>
      <w:r w:rsidR="006661ED" w:rsidRPr="00956C5F">
        <w:rPr>
          <w:rFonts w:ascii="Times New Roman" w:hAnsi="Times New Roman"/>
          <w:color w:val="auto"/>
          <w:sz w:val="22"/>
          <w:szCs w:val="22"/>
        </w:rPr>
        <w:tab/>
      </w:r>
    </w:p>
    <w:p w14:paraId="45FB8CD0" w14:textId="77777777" w:rsidR="006661ED" w:rsidRPr="00956C5F" w:rsidRDefault="006661ED" w:rsidP="00956C5F">
      <w:pPr>
        <w:autoSpaceDE w:val="0"/>
        <w:autoSpaceDN w:val="0"/>
        <w:adjustRightInd w:val="0"/>
        <w:spacing w:after="0" w:line="360" w:lineRule="auto"/>
        <w:jc w:val="both"/>
        <w:rPr>
          <w:sz w:val="22"/>
        </w:rPr>
      </w:pPr>
      <w:r w:rsidRPr="00956C5F">
        <w:rPr>
          <w:sz w:val="22"/>
        </w:rPr>
        <w:t>The waste marble samples used in this study were obtained</w:t>
      </w:r>
      <w:r w:rsidR="00345CB4" w:rsidRPr="00956C5F">
        <w:rPr>
          <w:sz w:val="22"/>
        </w:rPr>
        <w:t xml:space="preserve"> </w:t>
      </w:r>
      <w:r w:rsidRPr="00956C5F">
        <w:rPr>
          <w:sz w:val="22"/>
        </w:rPr>
        <w:t xml:space="preserve">from the marble Processing factory located in </w:t>
      </w:r>
      <w:r w:rsidR="00345CB4" w:rsidRPr="00956C5F">
        <w:rPr>
          <w:sz w:val="22"/>
        </w:rPr>
        <w:t>Bahir Dar,</w:t>
      </w:r>
      <w:r w:rsidRPr="00956C5F">
        <w:rPr>
          <w:sz w:val="22"/>
        </w:rPr>
        <w:t xml:space="preserve"> Ethiopia. It is crushed with Jaw crusher(BB50Spezialstahl), washed with de-ionized water </w:t>
      </w:r>
      <w:r w:rsidRPr="00956C5F">
        <w:rPr>
          <w:sz w:val="22"/>
        </w:rPr>
        <w:lastRenderedPageBreak/>
        <w:t xml:space="preserve">followed by drying in oven at105 </w:t>
      </w:r>
      <w:smartTag w:uri="urn:schemas-microsoft-com:office:smarttags" w:element="metricconverter">
        <w:smartTagPr>
          <w:attr w:name="ProductID" w:val="0C"/>
        </w:smartTagPr>
        <w:r w:rsidRPr="00956C5F">
          <w:rPr>
            <w:sz w:val="22"/>
            <w:vertAlign w:val="superscript"/>
          </w:rPr>
          <w:t>0</w:t>
        </w:r>
        <w:r w:rsidRPr="00956C5F">
          <w:rPr>
            <w:sz w:val="22"/>
          </w:rPr>
          <w:t>C</w:t>
        </w:r>
      </w:smartTag>
      <w:r w:rsidRPr="00956C5F">
        <w:rPr>
          <w:sz w:val="22"/>
        </w:rPr>
        <w:t xml:space="preserve"> for 24</w:t>
      </w:r>
      <w:r w:rsidR="005B12D0" w:rsidRPr="00956C5F">
        <w:rPr>
          <w:sz w:val="22"/>
        </w:rPr>
        <w:t xml:space="preserve"> </w:t>
      </w:r>
      <w:r w:rsidRPr="00956C5F">
        <w:rPr>
          <w:sz w:val="22"/>
        </w:rPr>
        <w:t>h</w:t>
      </w:r>
      <w:r w:rsidR="005B12D0" w:rsidRPr="00956C5F">
        <w:rPr>
          <w:sz w:val="22"/>
        </w:rPr>
        <w:t>our</w:t>
      </w:r>
      <w:r w:rsidRPr="00956C5F">
        <w:rPr>
          <w:sz w:val="22"/>
        </w:rPr>
        <w:t xml:space="preserve"> .The dried powdered was sieved well with 75 - 25μm mesh size particles and kept in dry container.</w:t>
      </w:r>
    </w:p>
    <w:p w14:paraId="5E55F3C2" w14:textId="77777777" w:rsidR="006661ED" w:rsidRPr="00956C5F" w:rsidRDefault="00DE5E01" w:rsidP="00956C5F">
      <w:pPr>
        <w:pStyle w:val="Heading2"/>
        <w:spacing w:line="360" w:lineRule="auto"/>
        <w:jc w:val="both"/>
        <w:rPr>
          <w:rFonts w:ascii="Times New Roman" w:hAnsi="Times New Roman"/>
          <w:color w:val="auto"/>
          <w:sz w:val="22"/>
          <w:szCs w:val="22"/>
        </w:rPr>
      </w:pPr>
      <w:bookmarkStart w:id="14" w:name="_Toc490251140"/>
      <w:bookmarkStart w:id="15" w:name="_Toc502677824"/>
      <w:r w:rsidRPr="00956C5F">
        <w:rPr>
          <w:rFonts w:ascii="Times New Roman" w:hAnsi="Times New Roman"/>
          <w:color w:val="auto"/>
          <w:sz w:val="22"/>
          <w:szCs w:val="22"/>
          <w:lang w:val="en-US"/>
        </w:rPr>
        <w:t>2.</w:t>
      </w:r>
      <w:r w:rsidR="006661ED" w:rsidRPr="00956C5F">
        <w:rPr>
          <w:rFonts w:ascii="Times New Roman" w:hAnsi="Times New Roman"/>
          <w:color w:val="auto"/>
          <w:sz w:val="22"/>
          <w:szCs w:val="22"/>
        </w:rPr>
        <w:t>4 Preparation of chromium</w:t>
      </w:r>
      <w:r w:rsidR="00345CB4" w:rsidRPr="00956C5F">
        <w:rPr>
          <w:rFonts w:ascii="Times New Roman" w:hAnsi="Times New Roman"/>
          <w:color w:val="auto"/>
          <w:sz w:val="22"/>
          <w:szCs w:val="22"/>
          <w:lang w:val="en-US"/>
        </w:rPr>
        <w:t xml:space="preserve"> (VI)</w:t>
      </w:r>
      <w:r w:rsidR="006661ED" w:rsidRPr="00956C5F">
        <w:rPr>
          <w:rFonts w:ascii="Times New Roman" w:hAnsi="Times New Roman"/>
          <w:color w:val="auto"/>
          <w:sz w:val="22"/>
          <w:szCs w:val="22"/>
        </w:rPr>
        <w:t xml:space="preserve"> stock Solutions</w:t>
      </w:r>
      <w:bookmarkEnd w:id="14"/>
      <w:bookmarkEnd w:id="15"/>
      <w:r w:rsidR="006661ED" w:rsidRPr="00956C5F">
        <w:rPr>
          <w:rFonts w:ascii="Times New Roman" w:hAnsi="Times New Roman"/>
          <w:b w:val="0"/>
          <w:color w:val="auto"/>
          <w:sz w:val="22"/>
          <w:szCs w:val="22"/>
        </w:rPr>
        <w:tab/>
      </w:r>
    </w:p>
    <w:p w14:paraId="22753E68" w14:textId="77777777" w:rsidR="006661ED" w:rsidRPr="00956C5F" w:rsidRDefault="006661ED" w:rsidP="00956C5F">
      <w:pPr>
        <w:autoSpaceDE w:val="0"/>
        <w:autoSpaceDN w:val="0"/>
        <w:adjustRightInd w:val="0"/>
        <w:spacing w:after="0" w:line="360" w:lineRule="auto"/>
        <w:rPr>
          <w:sz w:val="22"/>
        </w:rPr>
      </w:pPr>
      <w:r w:rsidRPr="00956C5F">
        <w:rPr>
          <w:sz w:val="22"/>
        </w:rPr>
        <w:t>A stock solution of hexavalent chromium having concentration of 1000 mg/</w:t>
      </w:r>
      <w:r w:rsidR="00345CB4" w:rsidRPr="00956C5F">
        <w:rPr>
          <w:sz w:val="22"/>
        </w:rPr>
        <w:t>L</w:t>
      </w:r>
      <w:r w:rsidRPr="00956C5F">
        <w:rPr>
          <w:sz w:val="22"/>
        </w:rPr>
        <w:t xml:space="preserve"> was prepared by dissolving 2.8287g of potassium dichromate (</w:t>
      </w:r>
      <w:r w:rsidRPr="00956C5F">
        <w:rPr>
          <w:rFonts w:eastAsia="CambriaMath"/>
          <w:sz w:val="22"/>
        </w:rPr>
        <w:t>K</w:t>
      </w:r>
      <w:r w:rsidRPr="00956C5F">
        <w:rPr>
          <w:rFonts w:eastAsia="CambriaMath"/>
          <w:sz w:val="22"/>
          <w:vertAlign w:val="subscript"/>
        </w:rPr>
        <w:t>2</w:t>
      </w:r>
      <w:r w:rsidRPr="00956C5F">
        <w:rPr>
          <w:rFonts w:eastAsia="CambriaMath"/>
          <w:sz w:val="22"/>
        </w:rPr>
        <w:t>Cr</w:t>
      </w:r>
      <w:r w:rsidRPr="00956C5F">
        <w:rPr>
          <w:rFonts w:eastAsia="CambriaMath"/>
          <w:sz w:val="22"/>
          <w:vertAlign w:val="subscript"/>
        </w:rPr>
        <w:t>2</w:t>
      </w:r>
      <w:r w:rsidRPr="00956C5F">
        <w:rPr>
          <w:rFonts w:eastAsia="CambriaMath"/>
          <w:sz w:val="22"/>
        </w:rPr>
        <w:t>O</w:t>
      </w:r>
      <w:r w:rsidRPr="00956C5F">
        <w:rPr>
          <w:rFonts w:eastAsia="CambriaMath"/>
          <w:sz w:val="22"/>
          <w:vertAlign w:val="subscript"/>
        </w:rPr>
        <w:t>7</w:t>
      </w:r>
      <w:r w:rsidRPr="00956C5F">
        <w:rPr>
          <w:sz w:val="22"/>
        </w:rPr>
        <w:t>) in 1000 m</w:t>
      </w:r>
      <w:r w:rsidR="00345CB4" w:rsidRPr="00956C5F">
        <w:rPr>
          <w:sz w:val="22"/>
        </w:rPr>
        <w:t>L</w:t>
      </w:r>
      <w:r w:rsidRPr="00956C5F">
        <w:rPr>
          <w:sz w:val="22"/>
        </w:rPr>
        <w:t xml:space="preserve"> of deionized water. This solution was diluted to obtain </w:t>
      </w:r>
      <w:r w:rsidR="00345CB4" w:rsidRPr="00956C5F">
        <w:rPr>
          <w:sz w:val="22"/>
        </w:rPr>
        <w:t>working</w:t>
      </w:r>
      <w:r w:rsidRPr="00956C5F">
        <w:rPr>
          <w:sz w:val="22"/>
        </w:rPr>
        <w:t xml:space="preserve"> solutions </w:t>
      </w:r>
      <w:r w:rsidR="00345CB4" w:rsidRPr="00956C5F">
        <w:rPr>
          <w:sz w:val="22"/>
        </w:rPr>
        <w:t xml:space="preserve">of </w:t>
      </w:r>
      <w:r w:rsidRPr="00956C5F">
        <w:rPr>
          <w:sz w:val="22"/>
        </w:rPr>
        <w:t xml:space="preserve">20, 40, </w:t>
      </w:r>
      <w:r w:rsidR="00345CB4" w:rsidRPr="00956C5F">
        <w:rPr>
          <w:sz w:val="22"/>
        </w:rPr>
        <w:t xml:space="preserve">and </w:t>
      </w:r>
      <w:r w:rsidRPr="00956C5F">
        <w:rPr>
          <w:sz w:val="22"/>
        </w:rPr>
        <w:t>60 mg/L</w:t>
      </w:r>
      <w:r w:rsidR="00345CB4" w:rsidRPr="00956C5F">
        <w:rPr>
          <w:sz w:val="22"/>
        </w:rPr>
        <w:t xml:space="preserve"> of</w:t>
      </w:r>
      <w:r w:rsidRPr="00956C5F">
        <w:rPr>
          <w:sz w:val="22"/>
        </w:rPr>
        <w:t xml:space="preserve"> </w:t>
      </w:r>
      <w:r w:rsidR="00345CB4" w:rsidRPr="00956C5F">
        <w:rPr>
          <w:sz w:val="22"/>
        </w:rPr>
        <w:t>chromium (VI)</w:t>
      </w:r>
      <w:r w:rsidRPr="00956C5F">
        <w:rPr>
          <w:sz w:val="22"/>
        </w:rPr>
        <w:t>. The pH of the solution was maintained at desired value by using 0.1M NaOH and 0.1M HCl solution and measured by pH meter.</w:t>
      </w:r>
    </w:p>
    <w:p w14:paraId="06E7E8F6" w14:textId="77777777" w:rsidR="006661ED" w:rsidRPr="00956C5F" w:rsidRDefault="002C1D77" w:rsidP="00956C5F">
      <w:pPr>
        <w:pStyle w:val="Heading2"/>
        <w:spacing w:line="360" w:lineRule="auto"/>
        <w:rPr>
          <w:rFonts w:ascii="Times New Roman" w:hAnsi="Times New Roman"/>
          <w:color w:val="auto"/>
          <w:sz w:val="22"/>
          <w:szCs w:val="22"/>
        </w:rPr>
      </w:pPr>
      <w:bookmarkStart w:id="16" w:name="_Toc502677825"/>
      <w:bookmarkStart w:id="17" w:name="_Toc490251141"/>
      <w:r w:rsidRPr="00956C5F">
        <w:rPr>
          <w:rFonts w:ascii="Times New Roman" w:hAnsi="Times New Roman"/>
          <w:color w:val="auto"/>
          <w:sz w:val="22"/>
          <w:szCs w:val="22"/>
          <w:lang w:val="en-US"/>
        </w:rPr>
        <w:t>2</w:t>
      </w:r>
      <w:r w:rsidR="006661ED" w:rsidRPr="00956C5F">
        <w:rPr>
          <w:rFonts w:ascii="Times New Roman" w:hAnsi="Times New Roman"/>
          <w:color w:val="auto"/>
          <w:sz w:val="22"/>
          <w:szCs w:val="22"/>
        </w:rPr>
        <w:t>.5 Characterization of powdered marble</w:t>
      </w:r>
      <w:bookmarkEnd w:id="16"/>
    </w:p>
    <w:p w14:paraId="09E0DC4B" w14:textId="77777777" w:rsidR="006661ED" w:rsidRPr="00C92AFF" w:rsidRDefault="002C1D77" w:rsidP="00956C5F">
      <w:pPr>
        <w:pStyle w:val="Heading3"/>
        <w:spacing w:line="360" w:lineRule="auto"/>
        <w:rPr>
          <w:rFonts w:ascii="Times New Roman" w:hAnsi="Times New Roman"/>
          <w:i/>
          <w:iCs/>
          <w:color w:val="auto"/>
          <w:sz w:val="22"/>
          <w:szCs w:val="22"/>
        </w:rPr>
      </w:pPr>
      <w:bookmarkStart w:id="18" w:name="_Toc502677826"/>
      <w:r w:rsidRPr="00C92AFF">
        <w:rPr>
          <w:rFonts w:ascii="Times New Roman" w:hAnsi="Times New Roman"/>
          <w:i/>
          <w:iCs/>
          <w:color w:val="auto"/>
          <w:sz w:val="22"/>
          <w:szCs w:val="22"/>
          <w:lang w:val="en-US"/>
        </w:rPr>
        <w:t>2</w:t>
      </w:r>
      <w:r w:rsidR="006661ED" w:rsidRPr="00C92AFF">
        <w:rPr>
          <w:rFonts w:ascii="Times New Roman" w:hAnsi="Times New Roman"/>
          <w:i/>
          <w:iCs/>
          <w:color w:val="auto"/>
          <w:sz w:val="22"/>
          <w:szCs w:val="22"/>
        </w:rPr>
        <w:t>.5.1 FTIR Analysis of Adsorbent</w:t>
      </w:r>
      <w:bookmarkEnd w:id="17"/>
      <w:bookmarkEnd w:id="18"/>
    </w:p>
    <w:p w14:paraId="126FE232" w14:textId="77777777" w:rsidR="006661ED" w:rsidRPr="00956C5F" w:rsidRDefault="006661ED" w:rsidP="00956C5F">
      <w:pPr>
        <w:spacing w:line="360" w:lineRule="auto"/>
        <w:jc w:val="both"/>
        <w:rPr>
          <w:rFonts w:eastAsia="AdvTimes"/>
          <w:sz w:val="22"/>
        </w:rPr>
      </w:pPr>
      <w:r w:rsidRPr="00956C5F">
        <w:rPr>
          <w:sz w:val="22"/>
        </w:rPr>
        <w:t xml:space="preserve">The FTIR spectra were for qualitative characterization of functional-groups present in powdered marble. The functional </w:t>
      </w:r>
      <w:proofErr w:type="gramStart"/>
      <w:r w:rsidRPr="00956C5F">
        <w:rPr>
          <w:sz w:val="22"/>
        </w:rPr>
        <w:t xml:space="preserve">groups of powdered marble </w:t>
      </w:r>
      <w:r w:rsidR="00345CB4" w:rsidRPr="00956C5F">
        <w:rPr>
          <w:sz w:val="22"/>
        </w:rPr>
        <w:t>was</w:t>
      </w:r>
      <w:proofErr w:type="gramEnd"/>
      <w:r w:rsidRPr="00956C5F">
        <w:rPr>
          <w:sz w:val="22"/>
        </w:rPr>
        <w:t xml:space="preserve"> studied by FTIR using KBr disc method spectroscopy at the wavenumber range of 400-4000 cm</w:t>
      </w:r>
      <w:r w:rsidRPr="00956C5F">
        <w:rPr>
          <w:sz w:val="22"/>
          <w:vertAlign w:val="superscript"/>
        </w:rPr>
        <w:t>−1</w:t>
      </w:r>
      <w:r w:rsidRPr="00956C5F">
        <w:rPr>
          <w:sz w:val="22"/>
        </w:rPr>
        <w:t xml:space="preserve">. Approximately </w:t>
      </w:r>
      <w:r w:rsidR="00A64513" w:rsidRPr="00956C5F">
        <w:rPr>
          <w:rFonts w:eastAsia="AdvTimes"/>
          <w:sz w:val="22"/>
        </w:rPr>
        <w:t>1 g</w:t>
      </w:r>
      <w:r w:rsidRPr="00956C5F">
        <w:rPr>
          <w:rFonts w:eastAsia="AdvTimes"/>
          <w:sz w:val="22"/>
        </w:rPr>
        <w:t xml:space="preserve"> of </w:t>
      </w:r>
      <w:r w:rsidR="00A64513" w:rsidRPr="00956C5F">
        <w:rPr>
          <w:rFonts w:eastAsia="AdvTimes"/>
          <w:sz w:val="22"/>
        </w:rPr>
        <w:t xml:space="preserve">powdered marble </w:t>
      </w:r>
      <w:r w:rsidRPr="00956C5F">
        <w:rPr>
          <w:rFonts w:eastAsia="AdvTimes"/>
          <w:sz w:val="22"/>
        </w:rPr>
        <w:t xml:space="preserve">was mixed with 100 mg of KBr and then grounded and pressed to prepare the pellets. The result obtained show the wave lengths of the different functional groups in the sample. </w:t>
      </w:r>
    </w:p>
    <w:p w14:paraId="69454D70" w14:textId="77777777" w:rsidR="006661ED" w:rsidRPr="00C92AFF" w:rsidRDefault="002C1D77" w:rsidP="00956C5F">
      <w:pPr>
        <w:pStyle w:val="Heading3"/>
        <w:spacing w:line="360" w:lineRule="auto"/>
        <w:rPr>
          <w:rFonts w:ascii="Times New Roman" w:hAnsi="Times New Roman"/>
          <w:i/>
          <w:iCs/>
          <w:color w:val="auto"/>
          <w:sz w:val="22"/>
          <w:szCs w:val="22"/>
        </w:rPr>
      </w:pPr>
      <w:bookmarkStart w:id="19" w:name="_Toc502677827"/>
      <w:r w:rsidRPr="00C92AFF">
        <w:rPr>
          <w:rFonts w:ascii="Times New Roman" w:hAnsi="Times New Roman"/>
          <w:i/>
          <w:iCs/>
          <w:color w:val="auto"/>
          <w:sz w:val="22"/>
          <w:szCs w:val="22"/>
          <w:lang w:val="en-US"/>
        </w:rPr>
        <w:t>2</w:t>
      </w:r>
      <w:r w:rsidR="006661ED" w:rsidRPr="00C92AFF">
        <w:rPr>
          <w:rFonts w:ascii="Times New Roman" w:hAnsi="Times New Roman"/>
          <w:i/>
          <w:iCs/>
          <w:color w:val="auto"/>
          <w:sz w:val="22"/>
          <w:szCs w:val="22"/>
        </w:rPr>
        <w:t>. 5.2 X-Ray Diffraction (XRD)</w:t>
      </w:r>
      <w:bookmarkEnd w:id="19"/>
      <w:r w:rsidR="006661ED" w:rsidRPr="00C92AFF">
        <w:rPr>
          <w:rFonts w:ascii="Times New Roman" w:hAnsi="Times New Roman"/>
          <w:i/>
          <w:iCs/>
          <w:color w:val="auto"/>
          <w:sz w:val="22"/>
          <w:szCs w:val="22"/>
        </w:rPr>
        <w:t xml:space="preserve"> </w:t>
      </w:r>
    </w:p>
    <w:p w14:paraId="22B8A126" w14:textId="77777777" w:rsidR="006661ED" w:rsidRPr="00956C5F" w:rsidRDefault="006661ED" w:rsidP="00956C5F">
      <w:pPr>
        <w:spacing w:line="360" w:lineRule="auto"/>
        <w:jc w:val="both"/>
        <w:rPr>
          <w:sz w:val="22"/>
        </w:rPr>
      </w:pPr>
      <w:r w:rsidRPr="00956C5F">
        <w:rPr>
          <w:sz w:val="22"/>
        </w:rPr>
        <w:t xml:space="preserve">First the powdered marble was sieved down to less than 70 </w:t>
      </w:r>
      <w:proofErr w:type="spellStart"/>
      <w:r w:rsidRPr="00956C5F">
        <w:rPr>
          <w:sz w:val="22"/>
        </w:rPr>
        <w:t>μm</w:t>
      </w:r>
      <w:proofErr w:type="spellEnd"/>
      <w:r w:rsidRPr="00956C5F">
        <w:rPr>
          <w:sz w:val="22"/>
        </w:rPr>
        <w:t xml:space="preserve"> in diameter and mounted on holders. Then the sample holder was introduced for analysis. Monochromatic x-ray (incident beam) as a source consisted of Cu-Kα radiation (</w:t>
      </w:r>
      <w:r w:rsidRPr="00956C5F">
        <w:rPr>
          <w:i/>
          <w:iCs/>
          <w:sz w:val="22"/>
        </w:rPr>
        <w:t xml:space="preserve">λ </w:t>
      </w:r>
      <w:r w:rsidRPr="00956C5F">
        <w:rPr>
          <w:sz w:val="22"/>
        </w:rPr>
        <w:t>= 1.5405 Å) with 40 kV power and 35 mA current was directed toward the sample. Each sample was scanned within the 2</w:t>
      </w:r>
      <w:r w:rsidRPr="00956C5F">
        <w:rPr>
          <w:i/>
          <w:iCs/>
          <w:sz w:val="22"/>
        </w:rPr>
        <w:t xml:space="preserve">θ </w:t>
      </w:r>
      <w:r w:rsidRPr="00956C5F">
        <w:rPr>
          <w:sz w:val="22"/>
        </w:rPr>
        <w:t xml:space="preserve">range of 10–70 and intensity (counts) was measured </w:t>
      </w:r>
      <w:r w:rsidRPr="00956C5F">
        <w:rPr>
          <w:sz w:val="22"/>
        </w:rPr>
        <w:fldChar w:fldCharType="begin"/>
      </w:r>
      <w:r w:rsidRPr="00956C5F">
        <w:rPr>
          <w:sz w:val="22"/>
        </w:rPr>
        <w:instrText xml:space="preserve"> ADDIN EN.CITE &lt;EndNote&gt;&lt;Cite&gt;&lt;Author&gt;Pathinettam Padiyan&lt;/Author&gt;&lt;Year&gt;2002&lt;/Year&gt;&lt;RecNum&gt;100&lt;/RecNum&gt;&lt;DisplayText&gt;(Pathinettam Padiyan &amp;amp; Marikani, 2002)&lt;/DisplayText&gt;&lt;record&gt;&lt;rec-number&gt;100&lt;/rec-number&gt;&lt;foreign-keys&gt;&lt;key app="EN" db-id="502dfepz89ep2ues9pfptderdf5005vpr250" timestamp="1513585530"&gt;100&lt;/key&gt;&lt;/foreign-keys&gt;&lt;ref-type name="Journal Article"&gt;17&lt;/ref-type&gt;&lt;contributors&gt;&lt;authors&gt;&lt;author&gt;Pathinettam Padiyan, D&lt;/author&gt;&lt;author&gt;Marikani, A&lt;/author&gt;&lt;/authors&gt;&lt;/contributors&gt;&lt;titles&gt;&lt;title&gt;X‐ray Determination of Lattice Constants of CdXSn1‐XSe Mixed Crystal Systems&lt;/title&gt;&lt;secondary-title&gt;Crystal Research and Technology&lt;/secondary-title&gt;&lt;/titles&gt;&lt;periodical&gt;&lt;full-title&gt;Crystal Research and Technology&lt;/full-title&gt;&lt;/periodical&gt;&lt;pages&gt;1241-1248&lt;/pages&gt;&lt;volume&gt;37&lt;/volume&gt;&lt;number&gt;11&lt;/number&gt;&lt;dates&gt;&lt;year&gt;2002&lt;/year&gt;&lt;/dates&gt;&lt;isbn&gt;1521-4079&lt;/isbn&gt;&lt;urls&gt;&lt;/urls&gt;&lt;/record&gt;&lt;/Cite&gt;&lt;/EndNote&gt;</w:instrText>
      </w:r>
      <w:r w:rsidRPr="00956C5F">
        <w:rPr>
          <w:sz w:val="22"/>
        </w:rPr>
        <w:fldChar w:fldCharType="separate"/>
      </w:r>
      <w:r w:rsidRPr="00956C5F">
        <w:rPr>
          <w:noProof/>
          <w:sz w:val="22"/>
        </w:rPr>
        <w:t>(Pathinettam Padiyan &amp; Marikani, 2002)</w:t>
      </w:r>
      <w:r w:rsidRPr="00956C5F">
        <w:rPr>
          <w:sz w:val="22"/>
        </w:rPr>
        <w:fldChar w:fldCharType="end"/>
      </w:r>
      <w:r w:rsidRPr="00956C5F">
        <w:rPr>
          <w:sz w:val="22"/>
        </w:rPr>
        <w:t xml:space="preserve">. </w:t>
      </w:r>
    </w:p>
    <w:p w14:paraId="200AF205" w14:textId="77777777" w:rsidR="006661ED" w:rsidRPr="00C92AFF" w:rsidRDefault="002C1D77" w:rsidP="00956C5F">
      <w:pPr>
        <w:pStyle w:val="Heading3"/>
        <w:spacing w:line="360" w:lineRule="auto"/>
        <w:rPr>
          <w:rFonts w:ascii="Times New Roman" w:hAnsi="Times New Roman"/>
          <w:i/>
          <w:iCs/>
          <w:color w:val="auto"/>
          <w:sz w:val="22"/>
          <w:szCs w:val="22"/>
          <w:highlight w:val="yellow"/>
        </w:rPr>
      </w:pPr>
      <w:bookmarkStart w:id="20" w:name="_Toc502677828"/>
      <w:r w:rsidRPr="00C92AFF">
        <w:rPr>
          <w:rFonts w:ascii="Times New Roman" w:hAnsi="Times New Roman"/>
          <w:i/>
          <w:iCs/>
          <w:color w:val="auto"/>
          <w:sz w:val="22"/>
          <w:szCs w:val="22"/>
          <w:lang w:val="en-US"/>
        </w:rPr>
        <w:t>2</w:t>
      </w:r>
      <w:r w:rsidR="006661ED" w:rsidRPr="00C92AFF">
        <w:rPr>
          <w:rFonts w:ascii="Times New Roman" w:hAnsi="Times New Roman"/>
          <w:i/>
          <w:iCs/>
          <w:color w:val="auto"/>
          <w:sz w:val="22"/>
          <w:szCs w:val="22"/>
        </w:rPr>
        <w:t>.5.3 Determin</w:t>
      </w:r>
      <w:r w:rsidR="009E5EFB" w:rsidRPr="00C92AFF">
        <w:rPr>
          <w:rFonts w:ascii="Times New Roman" w:hAnsi="Times New Roman"/>
          <w:i/>
          <w:iCs/>
          <w:color w:val="auto"/>
          <w:sz w:val="22"/>
          <w:szCs w:val="22"/>
          <w:lang w:val="en-US"/>
        </w:rPr>
        <w:t xml:space="preserve">ation of </w:t>
      </w:r>
      <w:r w:rsidR="006661ED" w:rsidRPr="00C92AFF">
        <w:rPr>
          <w:rFonts w:ascii="Times New Roman" w:hAnsi="Times New Roman"/>
          <w:i/>
          <w:iCs/>
          <w:color w:val="auto"/>
          <w:sz w:val="22"/>
          <w:szCs w:val="22"/>
        </w:rPr>
        <w:t xml:space="preserve">pH of point zero charge </w:t>
      </w:r>
      <w:r w:rsidR="009E5EFB" w:rsidRPr="00C92AFF">
        <w:rPr>
          <w:rFonts w:ascii="Times New Roman" w:hAnsi="Times New Roman"/>
          <w:i/>
          <w:iCs/>
          <w:color w:val="auto"/>
          <w:sz w:val="22"/>
          <w:szCs w:val="22"/>
          <w:lang w:val="en-US"/>
        </w:rPr>
        <w:t>(</w:t>
      </w:r>
      <w:proofErr w:type="spellStart"/>
      <w:r w:rsidR="009E5EFB" w:rsidRPr="00C92AFF">
        <w:rPr>
          <w:rFonts w:ascii="Times New Roman" w:hAnsi="Times New Roman"/>
          <w:i/>
          <w:iCs/>
          <w:color w:val="auto"/>
          <w:sz w:val="22"/>
          <w:szCs w:val="22"/>
          <w:lang w:val="en-US"/>
        </w:rPr>
        <w:t>pHPZC</w:t>
      </w:r>
      <w:proofErr w:type="spellEnd"/>
      <w:r w:rsidR="009E5EFB" w:rsidRPr="00C92AFF">
        <w:rPr>
          <w:rFonts w:ascii="Times New Roman" w:hAnsi="Times New Roman"/>
          <w:i/>
          <w:iCs/>
          <w:color w:val="auto"/>
          <w:sz w:val="22"/>
          <w:szCs w:val="22"/>
          <w:lang w:val="en-US"/>
        </w:rPr>
        <w:t xml:space="preserve">) </w:t>
      </w:r>
      <w:r w:rsidR="006661ED" w:rsidRPr="00C92AFF">
        <w:rPr>
          <w:rFonts w:ascii="Times New Roman" w:hAnsi="Times New Roman"/>
          <w:i/>
          <w:iCs/>
          <w:color w:val="auto"/>
          <w:sz w:val="22"/>
          <w:szCs w:val="22"/>
        </w:rPr>
        <w:t>of marble powder</w:t>
      </w:r>
      <w:bookmarkEnd w:id="20"/>
    </w:p>
    <w:p w14:paraId="5EF35AAB" w14:textId="77777777" w:rsidR="006661ED" w:rsidRPr="00956C5F" w:rsidRDefault="006661ED" w:rsidP="00956C5F">
      <w:pPr>
        <w:autoSpaceDE w:val="0"/>
        <w:autoSpaceDN w:val="0"/>
        <w:adjustRightInd w:val="0"/>
        <w:spacing w:after="0" w:line="360" w:lineRule="auto"/>
        <w:jc w:val="both"/>
        <w:rPr>
          <w:sz w:val="22"/>
        </w:rPr>
      </w:pPr>
      <w:r w:rsidRPr="00956C5F">
        <w:rPr>
          <w:sz w:val="22"/>
        </w:rPr>
        <w:t xml:space="preserve">The </w:t>
      </w:r>
      <w:proofErr w:type="spellStart"/>
      <w:r w:rsidR="009E5EFB" w:rsidRPr="00956C5F">
        <w:rPr>
          <w:sz w:val="22"/>
        </w:rPr>
        <w:t>pHPZC</w:t>
      </w:r>
      <w:proofErr w:type="spellEnd"/>
      <w:r w:rsidRPr="00956C5F">
        <w:rPr>
          <w:sz w:val="22"/>
        </w:rPr>
        <w:t xml:space="preserve"> of the powdered marble sorbent was measured by the batch equilibrium technique</w:t>
      </w:r>
      <w:r w:rsidR="00C57957" w:rsidRPr="00956C5F">
        <w:rPr>
          <w:sz w:val="22"/>
        </w:rPr>
        <w:t xml:space="preserve"> (Alemu </w:t>
      </w:r>
      <w:r w:rsidR="00C57957" w:rsidRPr="00956C5F">
        <w:rPr>
          <w:i/>
          <w:sz w:val="22"/>
        </w:rPr>
        <w:t>et al.,</w:t>
      </w:r>
      <w:r w:rsidR="00C57957" w:rsidRPr="00956C5F">
        <w:rPr>
          <w:sz w:val="22"/>
        </w:rPr>
        <w:t xml:space="preserve"> 2018)</w:t>
      </w:r>
      <w:r w:rsidRPr="00956C5F">
        <w:rPr>
          <w:sz w:val="22"/>
        </w:rPr>
        <w:t>. Ten series of 50</w:t>
      </w:r>
      <w:r w:rsidR="00B37B52" w:rsidRPr="00956C5F">
        <w:rPr>
          <w:sz w:val="22"/>
        </w:rPr>
        <w:t xml:space="preserve"> </w:t>
      </w:r>
      <w:r w:rsidRPr="00956C5F">
        <w:rPr>
          <w:sz w:val="22"/>
        </w:rPr>
        <w:t>mL 0.01N NaCl test solutions were prepared in Erlenmeyer flask then their pH values were adjusted in range between 2 and 11 using 0.01N HCl and 0.01N NaOH solution. The initial pH of the solutions were measured with pH meter and noted as pH</w:t>
      </w:r>
      <w:r w:rsidR="00B37B52" w:rsidRPr="00956C5F">
        <w:rPr>
          <w:sz w:val="22"/>
        </w:rPr>
        <w:t xml:space="preserve"> </w:t>
      </w:r>
      <w:r w:rsidRPr="00956C5F">
        <w:rPr>
          <w:sz w:val="22"/>
        </w:rPr>
        <w:t>initial. After constant value of pH</w:t>
      </w:r>
      <w:r w:rsidR="00B37B52" w:rsidRPr="00956C5F">
        <w:rPr>
          <w:sz w:val="22"/>
        </w:rPr>
        <w:t xml:space="preserve"> </w:t>
      </w:r>
      <w:r w:rsidRPr="00956C5F">
        <w:rPr>
          <w:sz w:val="22"/>
        </w:rPr>
        <w:t>initial had been reached, 1 g of the powdered marble sample was added into each Erlenmeyer flask; and the solutions were shaken for 48h at 200</w:t>
      </w:r>
      <w:r w:rsidR="00B37B52" w:rsidRPr="00956C5F">
        <w:rPr>
          <w:sz w:val="22"/>
        </w:rPr>
        <w:t xml:space="preserve"> </w:t>
      </w:r>
      <w:r w:rsidRPr="00956C5F">
        <w:rPr>
          <w:sz w:val="22"/>
        </w:rPr>
        <w:t xml:space="preserve">rpm </w:t>
      </w:r>
      <w:r w:rsidR="00B37B52" w:rsidRPr="00956C5F">
        <w:rPr>
          <w:sz w:val="22"/>
        </w:rPr>
        <w:t>at</w:t>
      </w:r>
      <w:r w:rsidRPr="00956C5F">
        <w:rPr>
          <w:sz w:val="22"/>
        </w:rPr>
        <w:t xml:space="preserve"> room temperature. The solution pH was measured after 48 h and noted as pH</w:t>
      </w:r>
      <w:r w:rsidR="00E518FB" w:rsidRPr="00956C5F">
        <w:rPr>
          <w:sz w:val="22"/>
        </w:rPr>
        <w:t xml:space="preserve"> </w:t>
      </w:r>
      <w:r w:rsidRPr="00956C5F">
        <w:rPr>
          <w:sz w:val="22"/>
        </w:rPr>
        <w:t>final, then plotted against pH</w:t>
      </w:r>
      <w:r w:rsidR="00E518FB" w:rsidRPr="00956C5F">
        <w:rPr>
          <w:sz w:val="22"/>
        </w:rPr>
        <w:t xml:space="preserve"> </w:t>
      </w:r>
      <w:r w:rsidRPr="00956C5F">
        <w:rPr>
          <w:sz w:val="22"/>
        </w:rPr>
        <w:t xml:space="preserve">initial. The </w:t>
      </w:r>
      <w:proofErr w:type="spellStart"/>
      <w:r w:rsidR="0034476E" w:rsidRPr="00956C5F">
        <w:rPr>
          <w:sz w:val="22"/>
        </w:rPr>
        <w:t>pHPZC</w:t>
      </w:r>
      <w:proofErr w:type="spellEnd"/>
      <w:r w:rsidRPr="00956C5F">
        <w:rPr>
          <w:sz w:val="22"/>
        </w:rPr>
        <w:t xml:space="preserve"> was then determined from a plot in th</w:t>
      </w:r>
      <w:r w:rsidR="0088749A" w:rsidRPr="00956C5F">
        <w:rPr>
          <w:sz w:val="22"/>
        </w:rPr>
        <w:t xml:space="preserve">e pH final versus </w:t>
      </w:r>
      <w:proofErr w:type="spellStart"/>
      <w:r w:rsidR="0088749A" w:rsidRPr="00956C5F">
        <w:rPr>
          <w:sz w:val="22"/>
        </w:rPr>
        <w:t>pH.</w:t>
      </w:r>
      <w:proofErr w:type="spellEnd"/>
      <w:r w:rsidR="0088749A" w:rsidRPr="00956C5F">
        <w:rPr>
          <w:sz w:val="22"/>
        </w:rPr>
        <w:t xml:space="preserve"> </w:t>
      </w:r>
      <w:r w:rsidRPr="00956C5F">
        <w:rPr>
          <w:sz w:val="22"/>
        </w:rPr>
        <w:t xml:space="preserve"> </w:t>
      </w:r>
      <w:proofErr w:type="spellStart"/>
      <w:r w:rsidRPr="00956C5F">
        <w:rPr>
          <w:sz w:val="22"/>
        </w:rPr>
        <w:t>pHPZC</w:t>
      </w:r>
      <w:proofErr w:type="spellEnd"/>
      <w:r w:rsidRPr="00956C5F">
        <w:rPr>
          <w:sz w:val="22"/>
        </w:rPr>
        <w:t xml:space="preserve"> is the point where the </w:t>
      </w:r>
      <w:proofErr w:type="spellStart"/>
      <w:r w:rsidRPr="00956C5F">
        <w:rPr>
          <w:sz w:val="22"/>
        </w:rPr>
        <w:t>pH</w:t>
      </w:r>
      <w:r w:rsidRPr="00956C5F">
        <w:rPr>
          <w:sz w:val="22"/>
          <w:vertAlign w:val="subscript"/>
        </w:rPr>
        <w:t>final</w:t>
      </w:r>
      <w:proofErr w:type="spellEnd"/>
      <w:r w:rsidR="005B12D0" w:rsidRPr="00956C5F">
        <w:rPr>
          <w:sz w:val="22"/>
        </w:rPr>
        <w:t xml:space="preserve">= </w:t>
      </w:r>
      <w:proofErr w:type="spellStart"/>
      <w:r w:rsidRPr="00956C5F">
        <w:rPr>
          <w:sz w:val="22"/>
        </w:rPr>
        <w:t>pH</w:t>
      </w:r>
      <w:r w:rsidRPr="00956C5F">
        <w:rPr>
          <w:sz w:val="22"/>
          <w:vertAlign w:val="subscript"/>
        </w:rPr>
        <w:t>initial</w:t>
      </w:r>
      <w:proofErr w:type="spellEnd"/>
      <w:r w:rsidRPr="00956C5F">
        <w:rPr>
          <w:sz w:val="22"/>
        </w:rPr>
        <w:t>.</w:t>
      </w:r>
      <w:r w:rsidRPr="00956C5F">
        <w:rPr>
          <w:rFonts w:eastAsia="Times New Roman"/>
          <w:sz w:val="22"/>
        </w:rPr>
        <w:t xml:space="preserve"> </w:t>
      </w:r>
    </w:p>
    <w:p w14:paraId="38EA3C72" w14:textId="77777777" w:rsidR="006661ED" w:rsidRPr="00956C5F" w:rsidRDefault="002C1D77" w:rsidP="00956C5F">
      <w:pPr>
        <w:pStyle w:val="Heading2"/>
        <w:spacing w:line="360" w:lineRule="auto"/>
        <w:rPr>
          <w:rFonts w:ascii="Times New Roman" w:hAnsi="Times New Roman"/>
          <w:color w:val="auto"/>
          <w:sz w:val="22"/>
          <w:szCs w:val="22"/>
        </w:rPr>
      </w:pPr>
      <w:bookmarkStart w:id="21" w:name="_Toc490251143"/>
      <w:bookmarkStart w:id="22" w:name="_Toc502677830"/>
      <w:r w:rsidRPr="00956C5F">
        <w:rPr>
          <w:rFonts w:ascii="Times New Roman" w:hAnsi="Times New Roman"/>
          <w:color w:val="auto"/>
          <w:sz w:val="22"/>
          <w:szCs w:val="22"/>
          <w:lang w:val="en-US"/>
        </w:rPr>
        <w:lastRenderedPageBreak/>
        <w:t>2</w:t>
      </w:r>
      <w:r w:rsidR="006661ED" w:rsidRPr="00956C5F">
        <w:rPr>
          <w:rFonts w:ascii="Times New Roman" w:hAnsi="Times New Roman"/>
          <w:color w:val="auto"/>
          <w:sz w:val="22"/>
          <w:szCs w:val="22"/>
        </w:rPr>
        <w:t>.</w:t>
      </w:r>
      <w:r w:rsidR="00DE5E01" w:rsidRPr="00956C5F">
        <w:rPr>
          <w:rFonts w:ascii="Times New Roman" w:hAnsi="Times New Roman"/>
          <w:color w:val="auto"/>
          <w:sz w:val="22"/>
          <w:szCs w:val="22"/>
          <w:lang w:val="en-US"/>
        </w:rPr>
        <w:t xml:space="preserve">6 </w:t>
      </w:r>
      <w:r w:rsidR="006661ED" w:rsidRPr="00956C5F">
        <w:rPr>
          <w:rFonts w:ascii="Times New Roman" w:hAnsi="Times New Roman"/>
          <w:color w:val="auto"/>
          <w:sz w:val="22"/>
          <w:szCs w:val="22"/>
        </w:rPr>
        <w:t xml:space="preserve">Batch adsorption </w:t>
      </w:r>
      <w:bookmarkEnd w:id="21"/>
      <w:r w:rsidR="006661ED" w:rsidRPr="00956C5F">
        <w:rPr>
          <w:rFonts w:ascii="Times New Roman" w:hAnsi="Times New Roman"/>
          <w:color w:val="auto"/>
          <w:sz w:val="22"/>
          <w:szCs w:val="22"/>
        </w:rPr>
        <w:t>experiment</w:t>
      </w:r>
      <w:bookmarkEnd w:id="22"/>
      <w:r w:rsidR="006661ED" w:rsidRPr="00956C5F">
        <w:rPr>
          <w:rFonts w:ascii="Times New Roman" w:hAnsi="Times New Roman"/>
          <w:color w:val="auto"/>
          <w:sz w:val="22"/>
          <w:szCs w:val="22"/>
        </w:rPr>
        <w:t xml:space="preserve"> </w:t>
      </w:r>
    </w:p>
    <w:p w14:paraId="0D1DB197" w14:textId="77777777" w:rsidR="006661ED" w:rsidRPr="00956C5F" w:rsidRDefault="006661ED" w:rsidP="00956C5F">
      <w:pPr>
        <w:autoSpaceDE w:val="0"/>
        <w:autoSpaceDN w:val="0"/>
        <w:adjustRightInd w:val="0"/>
        <w:spacing w:after="0" w:line="360" w:lineRule="auto"/>
        <w:jc w:val="both"/>
        <w:rPr>
          <w:sz w:val="22"/>
        </w:rPr>
      </w:pPr>
      <w:r w:rsidRPr="00956C5F">
        <w:rPr>
          <w:sz w:val="22"/>
        </w:rPr>
        <w:t xml:space="preserve">Sorption studies were performed by the batch technique to obtain rate and equilibrium data. The batch technique was selected because of its simplicity. Batch sorption studies were performed at different temperatures, solution </w:t>
      </w:r>
      <w:r w:rsidR="00864D18" w:rsidRPr="00956C5F">
        <w:rPr>
          <w:sz w:val="22"/>
        </w:rPr>
        <w:t>pH</w:t>
      </w:r>
      <w:r w:rsidRPr="00956C5F">
        <w:rPr>
          <w:sz w:val="22"/>
        </w:rPr>
        <w:t>, particle size, stirring time and initial chrome concentration to obtain equilibrium isotherms and data required in the design and operation of column reactors for the treatment of hexavalent chromium bearing waste water. For isotherm studies, a series of 250-mL conical flasks were employed. Each conical flask was filled with 200mL of Cr (VI) solution of varying concentrations (20, 40,</w:t>
      </w:r>
      <w:r w:rsidR="005B12D0" w:rsidRPr="00956C5F">
        <w:rPr>
          <w:sz w:val="22"/>
        </w:rPr>
        <w:t xml:space="preserve"> </w:t>
      </w:r>
      <w:r w:rsidRPr="00956C5F">
        <w:rPr>
          <w:sz w:val="22"/>
        </w:rPr>
        <w:t>60mg/L) and adjusted to the desired pH and temperature of 25, 40</w:t>
      </w:r>
      <w:r w:rsidR="00864D18" w:rsidRPr="00956C5F">
        <w:rPr>
          <w:sz w:val="22"/>
        </w:rPr>
        <w:t xml:space="preserve"> </w:t>
      </w:r>
      <w:r w:rsidRPr="00956C5F">
        <w:rPr>
          <w:sz w:val="22"/>
        </w:rPr>
        <w:t>&amp;</w:t>
      </w:r>
      <w:r w:rsidR="00864D18" w:rsidRPr="00956C5F">
        <w:rPr>
          <w:sz w:val="22"/>
        </w:rPr>
        <w:t xml:space="preserve"> </w:t>
      </w:r>
      <w:r w:rsidRPr="00956C5F">
        <w:rPr>
          <w:sz w:val="22"/>
        </w:rPr>
        <w:t>55</w:t>
      </w:r>
      <w:r w:rsidR="00C57957" w:rsidRPr="00956C5F">
        <w:rPr>
          <w:sz w:val="22"/>
        </w:rPr>
        <w:t xml:space="preserve"> </w:t>
      </w:r>
      <w:r w:rsidRPr="00956C5F">
        <w:rPr>
          <w:sz w:val="22"/>
          <w:vertAlign w:val="superscript"/>
        </w:rPr>
        <w:t>0</w:t>
      </w:r>
      <w:r w:rsidRPr="00956C5F">
        <w:rPr>
          <w:sz w:val="22"/>
        </w:rPr>
        <w:t>c.</w:t>
      </w:r>
    </w:p>
    <w:p w14:paraId="4732AEF8" w14:textId="77777777" w:rsidR="00C57957" w:rsidRPr="00956C5F" w:rsidRDefault="00C57957" w:rsidP="00956C5F">
      <w:pPr>
        <w:autoSpaceDE w:val="0"/>
        <w:autoSpaceDN w:val="0"/>
        <w:adjustRightInd w:val="0"/>
        <w:spacing w:after="0" w:line="360" w:lineRule="auto"/>
        <w:jc w:val="both"/>
        <w:rPr>
          <w:sz w:val="22"/>
        </w:rPr>
      </w:pPr>
    </w:p>
    <w:p w14:paraId="7E6F3403" w14:textId="77777777" w:rsidR="006661ED" w:rsidRPr="00956C5F" w:rsidRDefault="006661ED" w:rsidP="00956C5F">
      <w:pPr>
        <w:pStyle w:val="CommentText"/>
        <w:spacing w:line="360" w:lineRule="auto"/>
        <w:jc w:val="both"/>
        <w:rPr>
          <w:rFonts w:ascii="Times New Roman" w:hAnsi="Times New Roman"/>
          <w:sz w:val="22"/>
          <w:szCs w:val="22"/>
        </w:rPr>
      </w:pPr>
      <w:r w:rsidRPr="00956C5F">
        <w:rPr>
          <w:rFonts w:ascii="Times New Roman" w:hAnsi="Times New Roman"/>
          <w:sz w:val="22"/>
          <w:szCs w:val="22"/>
        </w:rPr>
        <w:t xml:space="preserve">The concentration range was chosen in accordance with the levels of chromium generally present in wastewater. 6 g of powdered marble was added to each conical flask, and the mixture was agitated on a water bath shaker at 200 rpm for the desired time periods, up to a maximum of about 12h. The contact time and other conditions were selected on the basis of preliminary experiment. After reaction, the solution was filtered using </w:t>
      </w:r>
      <w:proofErr w:type="spellStart"/>
      <w:r w:rsidRPr="00956C5F">
        <w:rPr>
          <w:rFonts w:ascii="Times New Roman" w:hAnsi="Times New Roman"/>
          <w:sz w:val="22"/>
          <w:szCs w:val="22"/>
        </w:rPr>
        <w:t>whatman</w:t>
      </w:r>
      <w:proofErr w:type="spellEnd"/>
      <w:r w:rsidRPr="00956C5F">
        <w:rPr>
          <w:rFonts w:ascii="Times New Roman" w:hAnsi="Times New Roman"/>
          <w:sz w:val="22"/>
          <w:szCs w:val="22"/>
        </w:rPr>
        <w:t xml:space="preserve"> filter paper, centrifuge and analyzed by ICP</w:t>
      </w:r>
      <w:r w:rsidR="00864D18" w:rsidRPr="00956C5F">
        <w:rPr>
          <w:rFonts w:ascii="Times New Roman" w:hAnsi="Times New Roman"/>
          <w:sz w:val="22"/>
          <w:szCs w:val="22"/>
          <w:lang w:val="en-US"/>
        </w:rPr>
        <w:t>-OES</w:t>
      </w:r>
      <w:r w:rsidRPr="00956C5F">
        <w:rPr>
          <w:rFonts w:ascii="Times New Roman" w:hAnsi="Times New Roman"/>
          <w:bCs/>
          <w:sz w:val="22"/>
          <w:szCs w:val="22"/>
        </w:rPr>
        <w:t xml:space="preserve"> (ULTIMA-2, Horiba)</w:t>
      </w:r>
      <w:r w:rsidRPr="00956C5F">
        <w:rPr>
          <w:rFonts w:ascii="Times New Roman" w:hAnsi="Times New Roman"/>
          <w:sz w:val="22"/>
          <w:szCs w:val="22"/>
        </w:rPr>
        <w:t xml:space="preserve"> for the concentration of Chromium remaining in the solution. The desired pH of the solution was adjusted by 0.1 M HCl or 0.1 M NaOH. Adsorption of Cr (VI) was also studied at different doses of adsorbent, different particle sizes and contact time .The concentration of Cr (VI) retained in the adsorbent phase was calculated as the difference between the original concentration of the solution and the measured concentration in solution after equilibrium</w:t>
      </w:r>
      <w:r w:rsidR="00864D18" w:rsidRPr="00956C5F">
        <w:rPr>
          <w:rFonts w:ascii="Times New Roman" w:hAnsi="Times New Roman"/>
          <w:sz w:val="22"/>
          <w:szCs w:val="22"/>
          <w:lang w:val="en-US"/>
        </w:rPr>
        <w:t xml:space="preserve"> u</w:t>
      </w:r>
      <w:r w:rsidRPr="00956C5F">
        <w:rPr>
          <w:rFonts w:ascii="Times New Roman" w:hAnsi="Times New Roman"/>
          <w:sz w:val="22"/>
          <w:szCs w:val="22"/>
        </w:rPr>
        <w:t>sing equation</w:t>
      </w:r>
      <w:r w:rsidR="00864D18" w:rsidRPr="00956C5F">
        <w:rPr>
          <w:rFonts w:ascii="Times New Roman" w:hAnsi="Times New Roman"/>
          <w:sz w:val="22"/>
          <w:szCs w:val="22"/>
          <w:lang w:val="en-US"/>
        </w:rPr>
        <w:t xml:space="preserve"> 1.</w:t>
      </w:r>
      <w:r w:rsidRPr="00956C5F">
        <w:rPr>
          <w:rFonts w:ascii="Times New Roman" w:hAnsi="Times New Roman"/>
          <w:sz w:val="22"/>
          <w:szCs w:val="22"/>
        </w:rPr>
        <w:t xml:space="preserve"> </w:t>
      </w:r>
    </w:p>
    <w:p w14:paraId="0B2B41B7" w14:textId="77777777" w:rsidR="006661ED" w:rsidRPr="00956C5F" w:rsidRDefault="006661ED" w:rsidP="00956C5F">
      <w:pPr>
        <w:tabs>
          <w:tab w:val="left" w:pos="3812"/>
        </w:tabs>
        <w:autoSpaceDE w:val="0"/>
        <w:autoSpaceDN w:val="0"/>
        <w:adjustRightInd w:val="0"/>
        <w:spacing w:after="0" w:line="360" w:lineRule="auto"/>
        <w:rPr>
          <w:sz w:val="22"/>
        </w:rPr>
      </w:pPr>
      <w:proofErr w:type="spellStart"/>
      <w:proofErr w:type="gramStart"/>
      <w:r w:rsidRPr="00956C5F">
        <w:rPr>
          <w:sz w:val="22"/>
        </w:rPr>
        <w:t>q</w:t>
      </w:r>
      <w:r w:rsidRPr="00956C5F">
        <w:rPr>
          <w:sz w:val="22"/>
          <w:vertAlign w:val="subscript"/>
        </w:rPr>
        <w:t>e</w:t>
      </w:r>
      <w:proofErr w:type="spellEnd"/>
      <w:proofErr w:type="gramEnd"/>
      <w:r w:rsidRPr="00956C5F">
        <w:rPr>
          <w:sz w:val="22"/>
        </w:rPr>
        <w:t xml:space="preserve"> =   </w:t>
      </w:r>
      <m:oMath>
        <m:f>
          <m:fPr>
            <m:ctrlPr>
              <w:rPr>
                <w:rFonts w:ascii="Cambria Math" w:hAnsi="Cambria Math"/>
                <w:sz w:val="22"/>
              </w:rPr>
            </m:ctrlPr>
          </m:fPr>
          <m:num>
            <m:d>
              <m:dPr>
                <m:ctrlPr>
                  <w:rPr>
                    <w:rFonts w:ascii="Cambria Math" w:hAnsi="Cambria Math"/>
                    <w:sz w:val="22"/>
                  </w:rPr>
                </m:ctrlPr>
              </m:dPr>
              <m:e>
                <m:r>
                  <m:rPr>
                    <m:sty m:val="p"/>
                  </m:rPr>
                  <w:rPr>
                    <w:rFonts w:ascii="Cambria Math" w:hAnsi="Cambria Math"/>
                    <w:sz w:val="22"/>
                  </w:rPr>
                  <m:t>Co-Ce</m:t>
                </m:r>
              </m:e>
            </m:d>
            <m:r>
              <m:rPr>
                <m:sty m:val="p"/>
              </m:rPr>
              <w:rPr>
                <w:rFonts w:ascii="Cambria Math" w:hAnsi="Cambria Math"/>
                <w:sz w:val="22"/>
              </w:rPr>
              <m:t>V</m:t>
            </m:r>
          </m:num>
          <m:den>
            <m:r>
              <m:rPr>
                <m:sty m:val="p"/>
              </m:rPr>
              <w:rPr>
                <w:rFonts w:ascii="Cambria Math" w:hAnsi="Cambria Math"/>
                <w:sz w:val="22"/>
              </w:rPr>
              <m:t>W</m:t>
            </m:r>
          </m:den>
        </m:f>
      </m:oMath>
      <w:r w:rsidR="00864D18" w:rsidRPr="00956C5F">
        <w:rPr>
          <w:sz w:val="22"/>
        </w:rPr>
        <w:t xml:space="preserve">   ……………………………………………………</w:t>
      </w:r>
      <w:r w:rsidR="00C57957" w:rsidRPr="00956C5F">
        <w:rPr>
          <w:sz w:val="22"/>
        </w:rPr>
        <w:t>…………………………….</w:t>
      </w:r>
      <w:r w:rsidR="00864D18" w:rsidRPr="00956C5F">
        <w:rPr>
          <w:sz w:val="22"/>
        </w:rPr>
        <w:t>(1)</w:t>
      </w:r>
    </w:p>
    <w:p w14:paraId="1584CF3E" w14:textId="77777777" w:rsidR="006661ED" w:rsidRPr="00956C5F" w:rsidRDefault="006661ED" w:rsidP="00956C5F">
      <w:pPr>
        <w:autoSpaceDE w:val="0"/>
        <w:autoSpaceDN w:val="0"/>
        <w:adjustRightInd w:val="0"/>
        <w:spacing w:before="240" w:line="360" w:lineRule="auto"/>
        <w:jc w:val="both"/>
        <w:rPr>
          <w:sz w:val="22"/>
        </w:rPr>
      </w:pPr>
      <w:r w:rsidRPr="00956C5F">
        <w:rPr>
          <w:sz w:val="22"/>
        </w:rPr>
        <w:t xml:space="preserve">Where </w:t>
      </w:r>
      <w:proofErr w:type="spellStart"/>
      <w:r w:rsidRPr="00956C5F">
        <w:rPr>
          <w:iCs/>
          <w:sz w:val="22"/>
        </w:rPr>
        <w:t>q</w:t>
      </w:r>
      <w:r w:rsidRPr="00956C5F">
        <w:rPr>
          <w:sz w:val="22"/>
          <w:vertAlign w:val="subscript"/>
        </w:rPr>
        <w:t>e</w:t>
      </w:r>
      <w:proofErr w:type="spellEnd"/>
      <w:r w:rsidRPr="00956C5F">
        <w:rPr>
          <w:sz w:val="22"/>
        </w:rPr>
        <w:t xml:space="preserve"> </w:t>
      </w:r>
      <w:r w:rsidR="00864D18" w:rsidRPr="00956C5F">
        <w:rPr>
          <w:sz w:val="22"/>
        </w:rPr>
        <w:t>is</w:t>
      </w:r>
      <w:r w:rsidRPr="00956C5F">
        <w:rPr>
          <w:sz w:val="22"/>
        </w:rPr>
        <w:t xml:space="preserve"> equilibrium concentrations of Cr(VI) on the adsorbent (mg/g) respectively; </w:t>
      </w:r>
      <w:r w:rsidRPr="00956C5F">
        <w:rPr>
          <w:i/>
          <w:iCs/>
          <w:sz w:val="22"/>
        </w:rPr>
        <w:t>C</w:t>
      </w:r>
      <w:r w:rsidRPr="00956C5F">
        <w:rPr>
          <w:sz w:val="22"/>
          <w:vertAlign w:val="subscript"/>
        </w:rPr>
        <w:t>o</w:t>
      </w:r>
      <w:r w:rsidRPr="00956C5F">
        <w:rPr>
          <w:sz w:val="22"/>
        </w:rPr>
        <w:t xml:space="preserve"> and </w:t>
      </w:r>
      <w:r w:rsidRPr="00956C5F">
        <w:rPr>
          <w:i/>
          <w:iCs/>
          <w:sz w:val="22"/>
        </w:rPr>
        <w:t>C</w:t>
      </w:r>
      <w:r w:rsidRPr="00956C5F">
        <w:rPr>
          <w:sz w:val="22"/>
          <w:vertAlign w:val="subscript"/>
        </w:rPr>
        <w:t>e</w:t>
      </w:r>
      <w:r w:rsidRPr="00956C5F">
        <w:rPr>
          <w:sz w:val="22"/>
        </w:rPr>
        <w:t xml:space="preserve"> are correspondingly the initial and equilibrium concentrations of Cr(VI) in solution (mg/L); </w:t>
      </w:r>
      <w:r w:rsidRPr="00956C5F">
        <w:rPr>
          <w:iCs/>
          <w:sz w:val="22"/>
        </w:rPr>
        <w:t xml:space="preserve">V </w:t>
      </w:r>
      <w:r w:rsidRPr="00956C5F">
        <w:rPr>
          <w:sz w:val="22"/>
        </w:rPr>
        <w:t xml:space="preserve">is the volume (L); and </w:t>
      </w:r>
      <w:r w:rsidRPr="00956C5F">
        <w:rPr>
          <w:iCs/>
          <w:sz w:val="22"/>
        </w:rPr>
        <w:t>W</w:t>
      </w:r>
      <w:r w:rsidRPr="00956C5F">
        <w:rPr>
          <w:i/>
          <w:iCs/>
          <w:sz w:val="22"/>
        </w:rPr>
        <w:t xml:space="preserve"> </w:t>
      </w:r>
      <w:r w:rsidRPr="00956C5F">
        <w:rPr>
          <w:sz w:val="22"/>
        </w:rPr>
        <w:t>is the weight (g) of the adsorbent.</w:t>
      </w:r>
    </w:p>
    <w:tbl>
      <w:tblPr>
        <w:tblW w:w="9967" w:type="dxa"/>
        <w:tblInd w:w="-74" w:type="dxa"/>
        <w:tblBorders>
          <w:top w:val="single" w:sz="4" w:space="0" w:color="auto"/>
        </w:tblBorders>
        <w:tblLayout w:type="fixed"/>
        <w:tblLook w:val="0000" w:firstRow="0" w:lastRow="0" w:firstColumn="0" w:lastColumn="0" w:noHBand="0" w:noVBand="0"/>
      </w:tblPr>
      <w:tblGrid>
        <w:gridCol w:w="9967"/>
      </w:tblGrid>
      <w:tr w:rsidR="00D91E74" w:rsidRPr="00C92AFF" w14:paraId="1975B790" w14:textId="77777777" w:rsidTr="002C23D7">
        <w:trPr>
          <w:trHeight w:val="50"/>
        </w:trPr>
        <w:tc>
          <w:tcPr>
            <w:tcW w:w="9967" w:type="dxa"/>
            <w:tcBorders>
              <w:top w:val="nil"/>
            </w:tcBorders>
          </w:tcPr>
          <w:p w14:paraId="230F351F" w14:textId="77777777" w:rsidR="00DB5ADA" w:rsidRPr="00C92AFF" w:rsidRDefault="002C1D77" w:rsidP="00956C5F">
            <w:pPr>
              <w:pStyle w:val="NoSpacing"/>
              <w:spacing w:before="240" w:line="360" w:lineRule="auto"/>
              <w:rPr>
                <w:rFonts w:ascii="Times New Roman" w:hAnsi="Times New Roman"/>
                <w:b/>
                <w:bCs/>
                <w:sz w:val="24"/>
                <w:szCs w:val="24"/>
              </w:rPr>
            </w:pPr>
            <w:bookmarkStart w:id="23" w:name="_Toc490251145"/>
            <w:bookmarkStart w:id="24" w:name="_Toc502677833"/>
            <w:r w:rsidRPr="00C92AFF">
              <w:rPr>
                <w:rFonts w:ascii="Times New Roman" w:hAnsi="Times New Roman"/>
                <w:b/>
                <w:sz w:val="24"/>
                <w:szCs w:val="24"/>
              </w:rPr>
              <w:t>3</w:t>
            </w:r>
            <w:r w:rsidR="002A3A23" w:rsidRPr="00C92AFF">
              <w:rPr>
                <w:rFonts w:ascii="Times New Roman" w:hAnsi="Times New Roman"/>
                <w:b/>
                <w:sz w:val="24"/>
                <w:szCs w:val="24"/>
              </w:rPr>
              <w:t>. Results and Discussion</w:t>
            </w:r>
            <w:bookmarkEnd w:id="23"/>
            <w:bookmarkEnd w:id="24"/>
          </w:p>
        </w:tc>
      </w:tr>
    </w:tbl>
    <w:p w14:paraId="540FC5DC" w14:textId="77777777" w:rsidR="00AD173F" w:rsidRPr="00956C5F" w:rsidRDefault="00C57957" w:rsidP="00956C5F">
      <w:pPr>
        <w:pStyle w:val="NoSpacing"/>
        <w:spacing w:line="360" w:lineRule="auto"/>
        <w:rPr>
          <w:rFonts w:ascii="Times New Roman" w:hAnsi="Times New Roman"/>
          <w:b/>
          <w:sz w:val="22"/>
          <w:szCs w:val="22"/>
        </w:rPr>
      </w:pPr>
      <w:bookmarkStart w:id="25" w:name="_Toc502677834"/>
      <w:r w:rsidRPr="00956C5F">
        <w:rPr>
          <w:rFonts w:ascii="Times New Roman" w:hAnsi="Times New Roman"/>
          <w:b/>
          <w:sz w:val="22"/>
          <w:szCs w:val="22"/>
        </w:rPr>
        <w:t xml:space="preserve">3.1 </w:t>
      </w:r>
      <w:r w:rsidR="00AD173F" w:rsidRPr="00956C5F">
        <w:rPr>
          <w:rFonts w:ascii="Times New Roman" w:hAnsi="Times New Roman"/>
          <w:b/>
          <w:sz w:val="22"/>
          <w:szCs w:val="22"/>
        </w:rPr>
        <w:t xml:space="preserve">Characterization </w:t>
      </w:r>
      <w:r w:rsidRPr="00956C5F">
        <w:rPr>
          <w:rFonts w:ascii="Times New Roman" w:hAnsi="Times New Roman"/>
          <w:b/>
          <w:sz w:val="22"/>
          <w:szCs w:val="22"/>
        </w:rPr>
        <w:t>of Powdered Marble Chips</w:t>
      </w:r>
    </w:p>
    <w:p w14:paraId="7C266BC0" w14:textId="77777777" w:rsidR="006661ED" w:rsidRPr="00C92AFF" w:rsidRDefault="00AD173F" w:rsidP="00956C5F">
      <w:pPr>
        <w:pStyle w:val="NoSpacing"/>
        <w:spacing w:line="360" w:lineRule="auto"/>
        <w:rPr>
          <w:rFonts w:ascii="Times New Roman" w:hAnsi="Times New Roman"/>
          <w:b/>
          <w:i/>
          <w:iCs/>
          <w:sz w:val="22"/>
          <w:szCs w:val="22"/>
        </w:rPr>
      </w:pPr>
      <w:r w:rsidRPr="00C92AFF">
        <w:rPr>
          <w:rFonts w:ascii="Times New Roman" w:hAnsi="Times New Roman"/>
          <w:b/>
          <w:i/>
          <w:iCs/>
          <w:sz w:val="22"/>
          <w:szCs w:val="22"/>
        </w:rPr>
        <w:t>3.1.</w:t>
      </w:r>
      <w:r w:rsidR="007B086B" w:rsidRPr="00C92AFF">
        <w:rPr>
          <w:rFonts w:ascii="Times New Roman" w:hAnsi="Times New Roman"/>
          <w:b/>
          <w:i/>
          <w:iCs/>
          <w:sz w:val="22"/>
          <w:szCs w:val="22"/>
        </w:rPr>
        <w:t>1</w:t>
      </w:r>
      <w:r w:rsidR="006661ED" w:rsidRPr="00C92AFF">
        <w:rPr>
          <w:rFonts w:ascii="Times New Roman" w:hAnsi="Times New Roman"/>
          <w:b/>
          <w:i/>
          <w:iCs/>
          <w:sz w:val="22"/>
          <w:szCs w:val="22"/>
        </w:rPr>
        <w:t xml:space="preserve"> FTIR </w:t>
      </w:r>
      <w:r w:rsidR="00654B97" w:rsidRPr="00C92AFF">
        <w:rPr>
          <w:rFonts w:ascii="Times New Roman" w:hAnsi="Times New Roman"/>
          <w:b/>
          <w:i/>
          <w:iCs/>
          <w:sz w:val="22"/>
          <w:szCs w:val="22"/>
        </w:rPr>
        <w:t>analysis</w:t>
      </w:r>
      <w:r w:rsidR="006661ED" w:rsidRPr="00C92AFF">
        <w:rPr>
          <w:rFonts w:ascii="Times New Roman" w:hAnsi="Times New Roman"/>
          <w:b/>
          <w:i/>
          <w:iCs/>
          <w:sz w:val="22"/>
          <w:szCs w:val="22"/>
        </w:rPr>
        <w:t xml:space="preserve"> of </w:t>
      </w:r>
      <w:bookmarkEnd w:id="25"/>
      <w:r w:rsidR="00654B97" w:rsidRPr="00C92AFF">
        <w:rPr>
          <w:rFonts w:ascii="Times New Roman" w:hAnsi="Times New Roman"/>
          <w:b/>
          <w:i/>
          <w:iCs/>
          <w:sz w:val="22"/>
          <w:szCs w:val="22"/>
        </w:rPr>
        <w:t>powdered marble chips</w:t>
      </w:r>
    </w:p>
    <w:p w14:paraId="690094FE" w14:textId="77777777" w:rsidR="006661ED" w:rsidRPr="00956C5F" w:rsidRDefault="006661ED" w:rsidP="00956C5F">
      <w:pPr>
        <w:autoSpaceDE w:val="0"/>
        <w:autoSpaceDN w:val="0"/>
        <w:adjustRightInd w:val="0"/>
        <w:spacing w:after="0" w:line="360" w:lineRule="auto"/>
        <w:jc w:val="both"/>
        <w:rPr>
          <w:sz w:val="22"/>
        </w:rPr>
      </w:pPr>
      <w:r w:rsidRPr="00956C5F">
        <w:rPr>
          <w:sz w:val="22"/>
        </w:rPr>
        <w:t xml:space="preserve">The FTIR spectra obtained for the powdered marble </w:t>
      </w:r>
      <w:r w:rsidR="00654B97" w:rsidRPr="00956C5F">
        <w:rPr>
          <w:sz w:val="22"/>
        </w:rPr>
        <w:t>is</w:t>
      </w:r>
      <w:r w:rsidRPr="00956C5F">
        <w:rPr>
          <w:sz w:val="22"/>
        </w:rPr>
        <w:t xml:space="preserve"> shown in </w:t>
      </w:r>
      <w:r w:rsidR="00E65C50" w:rsidRPr="00956C5F">
        <w:rPr>
          <w:b/>
          <w:sz w:val="22"/>
        </w:rPr>
        <w:t>F</w:t>
      </w:r>
      <w:r w:rsidRPr="00956C5F">
        <w:rPr>
          <w:b/>
          <w:sz w:val="22"/>
        </w:rPr>
        <w:t xml:space="preserve">igure </w:t>
      </w:r>
      <w:r w:rsidR="00E65C50" w:rsidRPr="00956C5F">
        <w:rPr>
          <w:b/>
          <w:sz w:val="22"/>
        </w:rPr>
        <w:t>2</w:t>
      </w:r>
      <w:r w:rsidRPr="00956C5F">
        <w:rPr>
          <w:sz w:val="22"/>
        </w:rPr>
        <w:t>. An infrared spectrum was obtained for the adsorbent solid sample before the adsorption process</w:t>
      </w:r>
      <w:r w:rsidRPr="00956C5F">
        <w:rPr>
          <w:rFonts w:eastAsia="AdvTimes"/>
          <w:sz w:val="22"/>
        </w:rPr>
        <w:t xml:space="preserve">. The </w:t>
      </w:r>
      <w:r w:rsidRPr="00956C5F">
        <w:rPr>
          <w:sz w:val="22"/>
        </w:rPr>
        <w:t xml:space="preserve">absorption bands </w:t>
      </w:r>
      <w:r w:rsidRPr="00956C5F">
        <w:rPr>
          <w:rFonts w:eastAsia="AdvTimes"/>
          <w:sz w:val="22"/>
        </w:rPr>
        <w:t>observable at about 473,</w:t>
      </w:r>
      <w:r w:rsidR="00654B97" w:rsidRPr="00956C5F">
        <w:rPr>
          <w:rFonts w:eastAsia="AdvTimes"/>
          <w:sz w:val="22"/>
        </w:rPr>
        <w:t xml:space="preserve"> </w:t>
      </w:r>
      <w:r w:rsidRPr="00956C5F">
        <w:rPr>
          <w:rFonts w:eastAsia="AdvTimes"/>
          <w:sz w:val="22"/>
        </w:rPr>
        <w:t>600, 1396, 2109 and 2506 cm</w:t>
      </w:r>
      <w:r w:rsidRPr="00956C5F">
        <w:rPr>
          <w:rFonts w:eastAsia="AdvTimes"/>
          <w:sz w:val="22"/>
          <w:vertAlign w:val="superscript"/>
        </w:rPr>
        <w:t>-1</w:t>
      </w:r>
      <w:r w:rsidRPr="00956C5F">
        <w:rPr>
          <w:rFonts w:eastAsia="AdvTimes"/>
          <w:sz w:val="22"/>
        </w:rPr>
        <w:t xml:space="preserve"> coincided with pure CaCO</w:t>
      </w:r>
      <w:r w:rsidRPr="00956C5F">
        <w:rPr>
          <w:rFonts w:eastAsia="AdvTimes"/>
          <w:sz w:val="22"/>
          <w:vertAlign w:val="subscript"/>
        </w:rPr>
        <w:t>3</w:t>
      </w:r>
      <w:r w:rsidRPr="00956C5F">
        <w:rPr>
          <w:sz w:val="22"/>
        </w:rPr>
        <w:t xml:space="preserve">, The band at 1007 was due to </w:t>
      </w:r>
      <w:proofErr w:type="spellStart"/>
      <w:r w:rsidRPr="00956C5F">
        <w:rPr>
          <w:sz w:val="22"/>
        </w:rPr>
        <w:t>si</w:t>
      </w:r>
      <w:proofErr w:type="spellEnd"/>
      <w:r w:rsidRPr="00956C5F">
        <w:rPr>
          <w:sz w:val="22"/>
        </w:rPr>
        <w:t xml:space="preserve">-o, band around 3500 characteristic of OH </w:t>
      </w:r>
      <w:r w:rsidRPr="00956C5F">
        <w:rPr>
          <w:sz w:val="22"/>
        </w:rPr>
        <w:fldChar w:fldCharType="begin"/>
      </w:r>
      <w:r w:rsidRPr="00956C5F">
        <w:rPr>
          <w:sz w:val="22"/>
        </w:rPr>
        <w:instrText xml:space="preserve"> ADDIN EN.CITE &lt;EndNote&gt;&lt;Cite&gt;&lt;Author&gt;Diouri&lt;/Author&gt;&lt;RecNum&gt;110&lt;/RecNum&gt;&lt;DisplayText&gt;(Diouri, Chaqroune, Kherbeche, Bentama, &amp;amp; Lahrichi)&lt;/DisplayText&gt;&lt;record&gt;&lt;rec-number&gt;110&lt;/rec-number&gt;&lt;foreign-keys&gt;&lt;key app="EN" db-id="502dfepz89ep2ues9pfptderdf5005vpr250" timestamp="1514966128"&gt;110&lt;/key&gt;&lt;/foreign-keys&gt;&lt;ref-type name="Journal Article"&gt;17&lt;/ref-type&gt;&lt;contributors&gt;&lt;authors&gt;&lt;author&gt;Diouri, K&lt;/author&gt;&lt;author&gt;Chaqroune, A&lt;/author&gt;&lt;author&gt;Kherbeche, A&lt;/author&gt;&lt;author&gt;Bentama, J&lt;/author&gt;&lt;author&gt;Lahrichi, A&lt;/author&gt;&lt;/authors&gt;&lt;/contributors&gt;&lt;titles&gt;&lt;title&gt;Kinetics of yellow dye adsorption onto marble powder sorbents&lt;/title&gt;&lt;/titles&gt;&lt;dates&gt;&lt;/dates&gt;&lt;urls&gt;&lt;/urls&gt;&lt;/record&gt;&lt;/Cite&gt;&lt;/EndNote&gt;</w:instrText>
      </w:r>
      <w:r w:rsidRPr="00956C5F">
        <w:rPr>
          <w:sz w:val="22"/>
        </w:rPr>
        <w:fldChar w:fldCharType="separate"/>
      </w:r>
      <w:r w:rsidRPr="00956C5F">
        <w:rPr>
          <w:noProof/>
          <w:sz w:val="22"/>
        </w:rPr>
        <w:t>(Diouri</w:t>
      </w:r>
      <w:r w:rsidR="006318F1" w:rsidRPr="00956C5F">
        <w:rPr>
          <w:noProof/>
          <w:sz w:val="22"/>
        </w:rPr>
        <w:t xml:space="preserve"> </w:t>
      </w:r>
      <w:r w:rsidR="006318F1" w:rsidRPr="00956C5F">
        <w:rPr>
          <w:i/>
          <w:noProof/>
          <w:sz w:val="22"/>
        </w:rPr>
        <w:t>et al.,</w:t>
      </w:r>
      <w:r w:rsidR="006318F1" w:rsidRPr="00956C5F">
        <w:rPr>
          <w:noProof/>
          <w:sz w:val="22"/>
        </w:rPr>
        <w:t xml:space="preserve"> 2015</w:t>
      </w:r>
      <w:r w:rsidRPr="00956C5F">
        <w:rPr>
          <w:noProof/>
          <w:sz w:val="22"/>
        </w:rPr>
        <w:t>)</w:t>
      </w:r>
      <w:r w:rsidRPr="00956C5F">
        <w:rPr>
          <w:sz w:val="22"/>
        </w:rPr>
        <w:fldChar w:fldCharType="end"/>
      </w:r>
    </w:p>
    <w:p w14:paraId="5660B202" w14:textId="77777777" w:rsidR="006661ED" w:rsidRPr="00956C5F" w:rsidRDefault="006661ED" w:rsidP="00956C5F">
      <w:pPr>
        <w:autoSpaceDE w:val="0"/>
        <w:autoSpaceDN w:val="0"/>
        <w:adjustRightInd w:val="0"/>
        <w:spacing w:after="0" w:line="360" w:lineRule="auto"/>
        <w:jc w:val="both"/>
        <w:rPr>
          <w:sz w:val="22"/>
        </w:rPr>
      </w:pPr>
    </w:p>
    <w:p w14:paraId="5699D97B" w14:textId="77777777" w:rsidR="006661ED" w:rsidRPr="00956C5F" w:rsidRDefault="006661ED" w:rsidP="00956C5F">
      <w:pPr>
        <w:spacing w:line="360" w:lineRule="auto"/>
        <w:jc w:val="center"/>
        <w:rPr>
          <w:sz w:val="22"/>
        </w:rPr>
      </w:pPr>
      <w:r w:rsidRPr="00956C5F">
        <w:rPr>
          <w:noProof/>
          <w:sz w:val="22"/>
        </w:rPr>
        <w:lastRenderedPageBreak/>
        <w:drawing>
          <wp:inline distT="0" distB="0" distL="0" distR="0" wp14:anchorId="25283A3A" wp14:editId="134E8D07">
            <wp:extent cx="5915025" cy="3279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3279805"/>
                    </a:xfrm>
                    <a:prstGeom prst="rect">
                      <a:avLst/>
                    </a:prstGeom>
                    <a:noFill/>
                    <a:ln>
                      <a:noFill/>
                    </a:ln>
                  </pic:spPr>
                </pic:pic>
              </a:graphicData>
            </a:graphic>
          </wp:inline>
        </w:drawing>
      </w:r>
    </w:p>
    <w:p w14:paraId="67392CF5" w14:textId="77777777" w:rsidR="006661ED" w:rsidRPr="00956C5F" w:rsidRDefault="006661ED" w:rsidP="00956C5F">
      <w:pPr>
        <w:tabs>
          <w:tab w:val="left" w:pos="2822"/>
        </w:tabs>
        <w:spacing w:after="0" w:line="360" w:lineRule="auto"/>
        <w:rPr>
          <w:sz w:val="22"/>
        </w:rPr>
      </w:pPr>
      <w:r w:rsidRPr="00956C5F">
        <w:rPr>
          <w:b/>
          <w:noProof/>
          <w:sz w:val="22"/>
        </w:rPr>
        <w:t xml:space="preserve">Figure </w:t>
      </w:r>
      <w:r w:rsidR="00C3358E" w:rsidRPr="00956C5F">
        <w:rPr>
          <w:b/>
          <w:noProof/>
          <w:sz w:val="22"/>
        </w:rPr>
        <w:t>2.</w:t>
      </w:r>
      <w:r w:rsidRPr="00956C5F">
        <w:rPr>
          <w:noProof/>
          <w:sz w:val="22"/>
        </w:rPr>
        <w:t xml:space="preserve"> F</w:t>
      </w:r>
      <w:r w:rsidRPr="00956C5F">
        <w:rPr>
          <w:sz w:val="22"/>
        </w:rPr>
        <w:t>IR spectrum of the powder of marble</w:t>
      </w:r>
    </w:p>
    <w:p w14:paraId="177E94B7" w14:textId="77777777" w:rsidR="00D91E74" w:rsidRPr="00956C5F" w:rsidRDefault="00D91E74" w:rsidP="00956C5F">
      <w:pPr>
        <w:tabs>
          <w:tab w:val="left" w:pos="2822"/>
        </w:tabs>
        <w:spacing w:line="360" w:lineRule="auto"/>
        <w:rPr>
          <w:sz w:val="22"/>
        </w:rPr>
      </w:pPr>
    </w:p>
    <w:p w14:paraId="6E1BDE8F" w14:textId="77777777" w:rsidR="006661ED" w:rsidRPr="00956C5F" w:rsidRDefault="006D7F89" w:rsidP="00956C5F">
      <w:pPr>
        <w:tabs>
          <w:tab w:val="left" w:pos="2822"/>
        </w:tabs>
        <w:spacing w:after="0" w:line="360" w:lineRule="auto"/>
        <w:rPr>
          <w:b/>
          <w:sz w:val="22"/>
        </w:rPr>
      </w:pPr>
      <w:bookmarkStart w:id="26" w:name="_Toc502677835"/>
      <w:r w:rsidRPr="00956C5F">
        <w:rPr>
          <w:b/>
          <w:sz w:val="22"/>
        </w:rPr>
        <w:t>3</w:t>
      </w:r>
      <w:r w:rsidR="006661ED" w:rsidRPr="00956C5F">
        <w:rPr>
          <w:b/>
          <w:sz w:val="22"/>
        </w:rPr>
        <w:t>.</w:t>
      </w:r>
      <w:r w:rsidR="007B086B" w:rsidRPr="00956C5F">
        <w:rPr>
          <w:b/>
          <w:sz w:val="22"/>
        </w:rPr>
        <w:t xml:space="preserve">1.2 </w:t>
      </w:r>
      <w:r w:rsidR="006661ED" w:rsidRPr="00956C5F">
        <w:rPr>
          <w:b/>
          <w:sz w:val="22"/>
        </w:rPr>
        <w:t>X-Ray Diffraction (XRD)</w:t>
      </w:r>
      <w:bookmarkEnd w:id="26"/>
      <w:r w:rsidR="006661ED" w:rsidRPr="00956C5F">
        <w:rPr>
          <w:b/>
          <w:sz w:val="22"/>
        </w:rPr>
        <w:t xml:space="preserve"> </w:t>
      </w:r>
      <w:r w:rsidR="007B086B" w:rsidRPr="00956C5F">
        <w:rPr>
          <w:b/>
          <w:sz w:val="22"/>
        </w:rPr>
        <w:t>analysis</w:t>
      </w:r>
    </w:p>
    <w:p w14:paraId="3E3608FD" w14:textId="77777777" w:rsidR="006661ED" w:rsidRPr="00956C5F" w:rsidRDefault="006661ED" w:rsidP="00956C5F">
      <w:pPr>
        <w:spacing w:line="360" w:lineRule="auto"/>
        <w:jc w:val="both"/>
        <w:rPr>
          <w:sz w:val="22"/>
        </w:rPr>
      </w:pPr>
      <w:r w:rsidRPr="00956C5F">
        <w:rPr>
          <w:sz w:val="22"/>
        </w:rPr>
        <w:t xml:space="preserve">From </w:t>
      </w:r>
      <w:r w:rsidRPr="00956C5F">
        <w:rPr>
          <w:b/>
          <w:sz w:val="22"/>
        </w:rPr>
        <w:t xml:space="preserve">Figure </w:t>
      </w:r>
      <w:r w:rsidR="00E65C50" w:rsidRPr="00956C5F">
        <w:rPr>
          <w:b/>
          <w:sz w:val="22"/>
        </w:rPr>
        <w:t>3</w:t>
      </w:r>
      <w:r w:rsidRPr="00956C5F">
        <w:rPr>
          <w:b/>
          <w:i/>
          <w:sz w:val="22"/>
        </w:rPr>
        <w:t xml:space="preserve"> </w:t>
      </w:r>
      <w:r w:rsidRPr="00956C5F">
        <w:rPr>
          <w:rFonts w:eastAsia="Times New Roman"/>
          <w:sz w:val="22"/>
          <w:lang w:val="en-GB" w:eastAsia="en-GB"/>
        </w:rPr>
        <w:t xml:space="preserve">analysis of X-ray diffraction showed that </w:t>
      </w:r>
      <w:r w:rsidRPr="00956C5F">
        <w:rPr>
          <w:sz w:val="22"/>
        </w:rPr>
        <w:t>the natural sample has (calcite and dolomite) major and (quartz or magnesite) m</w:t>
      </w:r>
      <w:r w:rsidR="00DD3CE3" w:rsidRPr="00956C5F">
        <w:rPr>
          <w:sz w:val="22"/>
        </w:rPr>
        <w:t>i</w:t>
      </w:r>
      <w:r w:rsidRPr="00956C5F">
        <w:rPr>
          <w:sz w:val="22"/>
        </w:rPr>
        <w:t>n</w:t>
      </w:r>
      <w:r w:rsidR="00DD3CE3" w:rsidRPr="00956C5F">
        <w:rPr>
          <w:sz w:val="22"/>
        </w:rPr>
        <w:t>o</w:t>
      </w:r>
      <w:r w:rsidRPr="00956C5F">
        <w:rPr>
          <w:sz w:val="22"/>
        </w:rPr>
        <w:t>r mineralogical components.</w:t>
      </w:r>
      <w:r w:rsidRPr="00956C5F">
        <w:rPr>
          <w:rFonts w:eastAsia="Times New Roman"/>
          <w:sz w:val="22"/>
          <w:lang w:val="en-GB" w:eastAsia="en-GB"/>
        </w:rPr>
        <w:t>It was characterized by a series of peaks at 2</w:t>
      </w:r>
      <w:r w:rsidR="00A4602C" w:rsidRPr="00956C5F">
        <w:rPr>
          <w:rFonts w:eastAsia="Times New Roman"/>
          <w:sz w:val="22"/>
          <w:lang w:val="en-GB" w:eastAsia="en-GB"/>
        </w:rPr>
        <w:t>θ</w:t>
      </w:r>
      <w:r w:rsidRPr="00956C5F">
        <w:rPr>
          <w:rFonts w:eastAsia="Times New Roman"/>
          <w:sz w:val="22"/>
          <w:lang w:val="en-GB" w:eastAsia="en-GB"/>
        </w:rPr>
        <w:t xml:space="preserve"> =25</w:t>
      </w:r>
      <w:r w:rsidRPr="00956C5F">
        <w:rPr>
          <w:rFonts w:eastAsia="Times New Roman"/>
          <w:sz w:val="22"/>
          <w:vertAlign w:val="superscript"/>
          <w:lang w:val="en-GB" w:eastAsia="en-GB"/>
        </w:rPr>
        <w:t>o</w:t>
      </w:r>
      <w:r w:rsidRPr="00956C5F">
        <w:rPr>
          <w:rFonts w:eastAsia="Times New Roman"/>
          <w:sz w:val="22"/>
          <w:lang w:val="en-GB" w:eastAsia="en-GB"/>
        </w:rPr>
        <w:t>,28</w:t>
      </w:r>
      <w:r w:rsidRPr="00956C5F">
        <w:rPr>
          <w:rFonts w:eastAsia="Times New Roman"/>
          <w:sz w:val="22"/>
          <w:vertAlign w:val="superscript"/>
          <w:lang w:val="en-GB" w:eastAsia="en-GB"/>
        </w:rPr>
        <w:t>o</w:t>
      </w:r>
      <w:r w:rsidRPr="00956C5F">
        <w:rPr>
          <w:rFonts w:eastAsia="Times New Roman"/>
          <w:sz w:val="22"/>
          <w:lang w:val="en-GB" w:eastAsia="en-GB"/>
        </w:rPr>
        <w:t>,30° ,32.25° ,35°</w:t>
      </w:r>
      <w:r w:rsidR="00A4602C" w:rsidRPr="00956C5F">
        <w:rPr>
          <w:rFonts w:eastAsia="Times New Roman"/>
          <w:sz w:val="22"/>
          <w:lang w:val="en-GB" w:eastAsia="en-GB"/>
        </w:rPr>
        <w:t xml:space="preserve">, </w:t>
      </w:r>
      <w:r w:rsidRPr="00956C5F">
        <w:rPr>
          <w:rFonts w:eastAsia="Times New Roman"/>
          <w:sz w:val="22"/>
          <w:lang w:val="en-GB" w:eastAsia="en-GB"/>
        </w:rPr>
        <w:t xml:space="preserve"> 50° and 60° diffraction peaks of </w:t>
      </w:r>
      <w:r w:rsidRPr="00956C5F">
        <w:rPr>
          <w:sz w:val="22"/>
        </w:rPr>
        <w:t>calcite and dolomite</w:t>
      </w:r>
      <w:r w:rsidRPr="00956C5F">
        <w:rPr>
          <w:rFonts w:eastAsia="Times New Roman"/>
          <w:sz w:val="22"/>
          <w:lang w:val="en-GB" w:eastAsia="en-GB"/>
        </w:rPr>
        <w:t xml:space="preserve"> and a few small peaks at</w:t>
      </w:r>
      <w:r w:rsidRPr="00956C5F">
        <w:rPr>
          <w:sz w:val="22"/>
        </w:rPr>
        <w:t xml:space="preserve"> </w:t>
      </w:r>
      <w:r w:rsidRPr="00956C5F">
        <w:rPr>
          <w:rFonts w:eastAsia="Times New Roman"/>
          <w:sz w:val="22"/>
          <w:lang w:val="en-GB" w:eastAsia="en-GB"/>
        </w:rPr>
        <w:t>2</w:t>
      </w:r>
      <w:r w:rsidR="00A4602C" w:rsidRPr="00956C5F">
        <w:rPr>
          <w:rFonts w:eastAsia="Times New Roman"/>
          <w:sz w:val="22"/>
          <w:lang w:val="en-GB" w:eastAsia="en-GB"/>
        </w:rPr>
        <w:t>θ</w:t>
      </w:r>
      <w:r w:rsidRPr="00956C5F">
        <w:rPr>
          <w:rFonts w:eastAsia="Times New Roman"/>
          <w:sz w:val="22"/>
          <w:lang w:val="en-GB" w:eastAsia="en-GB"/>
        </w:rPr>
        <w:t xml:space="preserve"> =25°, 40°,54 and 62° which is characteristic of the presence a small amount of </w:t>
      </w:r>
      <w:r w:rsidRPr="00956C5F">
        <w:rPr>
          <w:sz w:val="22"/>
        </w:rPr>
        <w:t>Silica (quartz)</w:t>
      </w:r>
      <w:r w:rsidR="0088749A" w:rsidRPr="00956C5F">
        <w:rPr>
          <w:sz w:val="22"/>
        </w:rPr>
        <w:t xml:space="preserve">, </w:t>
      </w:r>
      <w:r w:rsidRPr="00956C5F">
        <w:rPr>
          <w:sz w:val="22"/>
        </w:rPr>
        <w:t xml:space="preserve">so the calculated powder pattern (lowest </w:t>
      </w:r>
      <w:proofErr w:type="spellStart"/>
      <w:r w:rsidRPr="00956C5F">
        <w:rPr>
          <w:sz w:val="22"/>
        </w:rPr>
        <w:t>diffratogramme</w:t>
      </w:r>
      <w:proofErr w:type="spellEnd"/>
      <w:r w:rsidRPr="00956C5F">
        <w:rPr>
          <w:sz w:val="22"/>
        </w:rPr>
        <w:t xml:space="preserve">) fits well with powder pattern of the natural marble sample </w:t>
      </w:r>
      <w:r w:rsidRPr="00956C5F">
        <w:rPr>
          <w:sz w:val="22"/>
        </w:rPr>
        <w:fldChar w:fldCharType="begin"/>
      </w:r>
      <w:r w:rsidRPr="00956C5F">
        <w:rPr>
          <w:sz w:val="22"/>
        </w:rPr>
        <w:instrText xml:space="preserve"> ADDIN EN.CITE &lt;EndNote&gt;&lt;Cite&gt;&lt;Author&gt;Duliu&lt;/Author&gt;&lt;Year&gt;2009&lt;/Year&gt;&lt;RecNum&gt;104&lt;/RecNum&gt;&lt;DisplayText&gt;(Duliu, Grecu, &amp;amp; Cristea, 2009)&lt;/DisplayText&gt;&lt;record&gt;&lt;rec-number&gt;104&lt;/rec-number&gt;&lt;foreign-keys&gt;&lt;key app="EN" db-id="502dfepz89ep2ues9pfptderdf5005vpr250" timestamp="1514800185"&gt;104&lt;/key&gt;&lt;/foreign-keys&gt;&lt;ref-type name="Journal Article"&gt;17&lt;/ref-type&gt;&lt;contributors&gt;&lt;authors&gt;&lt;author&gt;Duliu, Octavian G&lt;/author&gt;&lt;author&gt;Grecu, Maria Nicoleta&lt;/author&gt;&lt;author&gt;Cristea, Corina&lt;/author&gt;&lt;/authors&gt;&lt;/contributors&gt;&lt;titles&gt;&lt;title&gt;EPR and X-ray diffraction investigation of some Greek marbles and limestones&lt;/title&gt;&lt;secondary-title&gt;Romanian Reports in Physics&lt;/secondary-title&gt;&lt;/titles&gt;&lt;periodical&gt;&lt;full-title&gt;Romanian Reports in Physics&lt;/full-title&gt;&lt;/periodical&gt;&lt;pages&gt;487-499&lt;/pages&gt;&lt;volume&gt;61&lt;/volume&gt;&lt;number&gt;3&lt;/number&gt;&lt;dates&gt;&lt;year&gt;2009&lt;/year&gt;&lt;/dates&gt;&lt;urls&gt;&lt;/urls&gt;&lt;/record&gt;&lt;/Cite&gt;&lt;/EndNote&gt;</w:instrText>
      </w:r>
      <w:r w:rsidRPr="00956C5F">
        <w:rPr>
          <w:sz w:val="22"/>
        </w:rPr>
        <w:fldChar w:fldCharType="separate"/>
      </w:r>
      <w:r w:rsidR="00A4602C" w:rsidRPr="00956C5F">
        <w:rPr>
          <w:noProof/>
          <w:sz w:val="22"/>
        </w:rPr>
        <w:t xml:space="preserve">(Duliu </w:t>
      </w:r>
      <w:r w:rsidR="00A4602C" w:rsidRPr="00956C5F">
        <w:rPr>
          <w:i/>
          <w:noProof/>
          <w:sz w:val="22"/>
        </w:rPr>
        <w:t xml:space="preserve">et al., </w:t>
      </w:r>
      <w:r w:rsidRPr="00956C5F">
        <w:rPr>
          <w:noProof/>
          <w:sz w:val="22"/>
        </w:rPr>
        <w:t xml:space="preserve"> 2009)</w:t>
      </w:r>
      <w:r w:rsidRPr="00956C5F">
        <w:rPr>
          <w:sz w:val="22"/>
        </w:rPr>
        <w:fldChar w:fldCharType="end"/>
      </w:r>
      <w:r w:rsidRPr="00956C5F">
        <w:rPr>
          <w:sz w:val="22"/>
        </w:rPr>
        <w:t>.</w:t>
      </w:r>
      <w:r w:rsidR="00A4602C" w:rsidRPr="00956C5F">
        <w:rPr>
          <w:sz w:val="22"/>
        </w:rPr>
        <w:t xml:space="preserve"> </w:t>
      </w:r>
    </w:p>
    <w:p w14:paraId="3A03A143" w14:textId="77777777" w:rsidR="006661ED" w:rsidRPr="00956C5F" w:rsidRDefault="00A7217D" w:rsidP="00956C5F">
      <w:pPr>
        <w:spacing w:line="360" w:lineRule="auto"/>
        <w:rPr>
          <w:sz w:val="22"/>
        </w:rPr>
      </w:pPr>
      <w:r w:rsidRPr="00956C5F">
        <w:rPr>
          <w:noProof/>
          <w:sz w:val="22"/>
        </w:rPr>
        <w:lastRenderedPageBreak/>
        <mc:AlternateContent>
          <mc:Choice Requires="wps">
            <w:drawing>
              <wp:anchor distT="0" distB="0" distL="114300" distR="114300" simplePos="0" relativeHeight="251657728" behindDoc="0" locked="0" layoutInCell="1" allowOverlap="1" wp14:anchorId="478503BC" wp14:editId="54ED13FE">
                <wp:simplePos x="0" y="0"/>
                <wp:positionH relativeFrom="column">
                  <wp:posOffset>1833245</wp:posOffset>
                </wp:positionH>
                <wp:positionV relativeFrom="paragraph">
                  <wp:posOffset>2258695</wp:posOffset>
                </wp:positionV>
                <wp:extent cx="460375" cy="209550"/>
                <wp:effectExtent l="0" t="0" r="15875" b="19050"/>
                <wp:wrapNone/>
                <wp:docPr id="1803" name="Text Box 1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 cy="209550"/>
                        </a:xfrm>
                        <a:prstGeom prst="rect">
                          <a:avLst/>
                        </a:prstGeom>
                        <a:solidFill>
                          <a:sysClr val="window" lastClr="FFFFFF"/>
                        </a:solidFill>
                        <a:ln w="6350">
                          <a:solidFill>
                            <a:prstClr val="black"/>
                          </a:solidFill>
                        </a:ln>
                        <a:effectLst/>
                      </wps:spPr>
                      <wps:txbx>
                        <w:txbxContent>
                          <w:p w14:paraId="3F57100E" w14:textId="77777777" w:rsidR="00804142" w:rsidRPr="001F4186" w:rsidRDefault="00804142" w:rsidP="006661ED">
                            <w:pPr>
                              <w:rPr>
                                <w:sz w:val="16"/>
                                <w:szCs w:val="16"/>
                              </w:rPr>
                            </w:pPr>
                            <w:r w:rsidRPr="001F4186">
                              <w:rPr>
                                <w:sz w:val="16"/>
                                <w:szCs w:val="16"/>
                              </w:rPr>
                              <w:t>Caco</w:t>
                            </w:r>
                            <w:r w:rsidRPr="001F4186">
                              <w:rPr>
                                <w:sz w:val="16"/>
                                <w:szCs w:val="16"/>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8503BC" id="_x0000_t202" coordsize="21600,21600" o:spt="202" path="m,l,21600r21600,l21600,xe">
                <v:stroke joinstyle="miter"/>
                <v:path gradientshapeok="t" o:connecttype="rect"/>
              </v:shapetype>
              <v:shape id="Text Box 1803" o:spid="_x0000_s1026" type="#_x0000_t202" style="position:absolute;margin-left:144.35pt;margin-top:177.85pt;width:36.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" fillcolor="window" strokeweight=".5pt">
                <v:path arrowok="t"/>
                <v:textbox>
                  <w:txbxContent>
                    <w:p w14:paraId="3F57100E" w14:textId="77777777" w:rsidR="00804142" w:rsidRPr="001F4186" w:rsidRDefault="00804142" w:rsidP="006661ED">
                      <w:pPr>
                        <w:rPr>
                          <w:sz w:val="16"/>
                          <w:szCs w:val="16"/>
                        </w:rPr>
                      </w:pPr>
                      <w:r w:rsidRPr="001F4186">
                        <w:rPr>
                          <w:sz w:val="16"/>
                          <w:szCs w:val="16"/>
                        </w:rPr>
                        <w:t>Caco</w:t>
                      </w:r>
                      <w:r w:rsidRPr="001F4186">
                        <w:rPr>
                          <w:sz w:val="16"/>
                          <w:szCs w:val="16"/>
                          <w:vertAlign w:val="subscript"/>
                        </w:rPr>
                        <w:t>3</w:t>
                      </w:r>
                    </w:p>
                  </w:txbxContent>
                </v:textbox>
              </v:shape>
            </w:pict>
          </mc:Fallback>
        </mc:AlternateContent>
      </w:r>
      <w:r w:rsidRPr="00956C5F">
        <w:rPr>
          <w:noProof/>
          <w:sz w:val="22"/>
        </w:rPr>
        <mc:AlternateContent>
          <mc:Choice Requires="wps">
            <w:drawing>
              <wp:anchor distT="0" distB="0" distL="114300" distR="114300" simplePos="0" relativeHeight="251651584" behindDoc="0" locked="0" layoutInCell="1" allowOverlap="1" wp14:anchorId="2624E92B" wp14:editId="7111CDB1">
                <wp:simplePos x="0" y="0"/>
                <wp:positionH relativeFrom="column">
                  <wp:posOffset>1072515</wp:posOffset>
                </wp:positionH>
                <wp:positionV relativeFrom="paragraph">
                  <wp:posOffset>852170</wp:posOffset>
                </wp:positionV>
                <wp:extent cx="459105" cy="238760"/>
                <wp:effectExtent l="0" t="0" r="17145" b="27940"/>
                <wp:wrapNone/>
                <wp:docPr id="1799" name="Text Box 1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 cy="238760"/>
                        </a:xfrm>
                        <a:prstGeom prst="rect">
                          <a:avLst/>
                        </a:prstGeom>
                        <a:solidFill>
                          <a:sysClr val="window" lastClr="FFFFFF"/>
                        </a:solidFill>
                        <a:ln w="6350">
                          <a:solidFill>
                            <a:prstClr val="black"/>
                          </a:solidFill>
                        </a:ln>
                        <a:effectLst/>
                      </wps:spPr>
                      <wps:txbx>
                        <w:txbxContent>
                          <w:p w14:paraId="1B81BB14" w14:textId="77777777" w:rsidR="00804142" w:rsidRPr="00CB3D3A" w:rsidRDefault="00804142" w:rsidP="006661ED">
                            <w:pPr>
                              <w:rPr>
                                <w:sz w:val="16"/>
                                <w:szCs w:val="16"/>
                              </w:rPr>
                            </w:pPr>
                            <w:r>
                              <w:rPr>
                                <w:sz w:val="16"/>
                                <w:szCs w:val="16"/>
                              </w:rPr>
                              <w:t>Caco</w:t>
                            </w:r>
                            <w:r w:rsidRPr="001F4186">
                              <w:rPr>
                                <w:sz w:val="16"/>
                                <w:szCs w:val="16"/>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24E92B" id="Text Box 1799" o:spid="_x0000_s1027" type="#_x0000_t202" style="position:absolute;margin-left:84.45pt;margin-top:67.1pt;width:36.15pt;height:1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" fillcolor="window" strokeweight=".5pt">
                <v:path arrowok="t"/>
                <v:textbox>
                  <w:txbxContent>
                    <w:p w14:paraId="1B81BB14" w14:textId="77777777" w:rsidR="00804142" w:rsidRPr="00CB3D3A" w:rsidRDefault="00804142" w:rsidP="006661ED">
                      <w:pPr>
                        <w:rPr>
                          <w:sz w:val="16"/>
                          <w:szCs w:val="16"/>
                        </w:rPr>
                      </w:pPr>
                      <w:r>
                        <w:rPr>
                          <w:sz w:val="16"/>
                          <w:szCs w:val="16"/>
                        </w:rPr>
                        <w:t>Caco</w:t>
                      </w:r>
                      <w:r w:rsidRPr="001F4186">
                        <w:rPr>
                          <w:sz w:val="16"/>
                          <w:szCs w:val="16"/>
                          <w:vertAlign w:val="subscript"/>
                        </w:rPr>
                        <w:t>3</w:t>
                      </w:r>
                    </w:p>
                  </w:txbxContent>
                </v:textbox>
              </v:shape>
            </w:pict>
          </mc:Fallback>
        </mc:AlternateContent>
      </w:r>
      <w:r w:rsidRPr="00956C5F">
        <w:rPr>
          <w:noProof/>
          <w:sz w:val="22"/>
        </w:rPr>
        <mc:AlternateContent>
          <mc:Choice Requires="wps">
            <w:drawing>
              <wp:anchor distT="0" distB="0" distL="114300" distR="114300" simplePos="0" relativeHeight="251660800" behindDoc="0" locked="0" layoutInCell="1" allowOverlap="1" wp14:anchorId="530CEC8C" wp14:editId="31DB8A68">
                <wp:simplePos x="0" y="0"/>
                <wp:positionH relativeFrom="column">
                  <wp:posOffset>962025</wp:posOffset>
                </wp:positionH>
                <wp:positionV relativeFrom="paragraph">
                  <wp:posOffset>2483485</wp:posOffset>
                </wp:positionV>
                <wp:extent cx="419100" cy="215265"/>
                <wp:effectExtent l="0" t="0" r="19050" b="13335"/>
                <wp:wrapNone/>
                <wp:docPr id="1804" name="Text Box 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5265"/>
                        </a:xfrm>
                        <a:prstGeom prst="rect">
                          <a:avLst/>
                        </a:prstGeom>
                        <a:solidFill>
                          <a:sysClr val="window" lastClr="FFFFFF"/>
                        </a:solidFill>
                        <a:ln w="6350">
                          <a:solidFill>
                            <a:prstClr val="black"/>
                          </a:solidFill>
                        </a:ln>
                        <a:effectLst/>
                      </wps:spPr>
                      <wps:txbx>
                        <w:txbxContent>
                          <w:p w14:paraId="2DCE52AC" w14:textId="77777777" w:rsidR="00804142" w:rsidRPr="00CB626C" w:rsidRDefault="00804142" w:rsidP="006661ED">
                            <w:pPr>
                              <w:rPr>
                                <w:sz w:val="16"/>
                                <w:szCs w:val="16"/>
                              </w:rPr>
                            </w:pPr>
                            <w:r w:rsidRPr="00CB626C">
                              <w:rPr>
                                <w:sz w:val="16"/>
                                <w:szCs w:val="16"/>
                              </w:rPr>
                              <w:t>Sio</w:t>
                            </w:r>
                            <w:r w:rsidRPr="00CB626C">
                              <w:rPr>
                                <w:sz w:val="16"/>
                                <w:szCs w:val="1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CEC8C" id="Text Box 1804" o:spid="_x0000_s1028" type="#_x0000_t202" style="position:absolute;margin-left:75.75pt;margin-top:195.55pt;width:33pt;height:1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" fillcolor="window" strokeweight=".5pt">
                <v:path arrowok="t"/>
                <v:textbox>
                  <w:txbxContent>
                    <w:p w14:paraId="2DCE52AC" w14:textId="77777777" w:rsidR="00804142" w:rsidRPr="00CB626C" w:rsidRDefault="00804142" w:rsidP="006661ED">
                      <w:pPr>
                        <w:rPr>
                          <w:sz w:val="16"/>
                          <w:szCs w:val="16"/>
                        </w:rPr>
                      </w:pPr>
                      <w:r w:rsidRPr="00CB626C">
                        <w:rPr>
                          <w:sz w:val="16"/>
                          <w:szCs w:val="16"/>
                        </w:rPr>
                        <w:t>Sio</w:t>
                      </w:r>
                      <w:r w:rsidRPr="00CB626C">
                        <w:rPr>
                          <w:sz w:val="16"/>
                          <w:szCs w:val="16"/>
                          <w:vertAlign w:val="subscript"/>
                        </w:rPr>
                        <w:t>2</w:t>
                      </w:r>
                    </w:p>
                  </w:txbxContent>
                </v:textbox>
              </v:shape>
            </w:pict>
          </mc:Fallback>
        </mc:AlternateContent>
      </w:r>
      <w:r w:rsidR="00F41DC7" w:rsidRPr="00956C5F">
        <w:rPr>
          <w:noProof/>
          <w:sz w:val="22"/>
        </w:rPr>
        <mc:AlternateContent>
          <mc:Choice Requires="wps">
            <w:drawing>
              <wp:anchor distT="0" distB="0" distL="114300" distR="114300" simplePos="0" relativeHeight="251654656" behindDoc="0" locked="0" layoutInCell="1" allowOverlap="1" wp14:anchorId="4E597F90" wp14:editId="5A7F919A">
                <wp:simplePos x="0" y="0"/>
                <wp:positionH relativeFrom="column">
                  <wp:posOffset>3707765</wp:posOffset>
                </wp:positionH>
                <wp:positionV relativeFrom="paragraph">
                  <wp:posOffset>1953260</wp:posOffset>
                </wp:positionV>
                <wp:extent cx="390525" cy="233045"/>
                <wp:effectExtent l="0" t="0" r="28575" b="14605"/>
                <wp:wrapNone/>
                <wp:docPr id="1802" name="Text Box 1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233045"/>
                        </a:xfrm>
                        <a:prstGeom prst="rect">
                          <a:avLst/>
                        </a:prstGeom>
                        <a:solidFill>
                          <a:sysClr val="window" lastClr="FFFFFF"/>
                        </a:solidFill>
                        <a:ln w="6350">
                          <a:solidFill>
                            <a:prstClr val="black"/>
                          </a:solidFill>
                        </a:ln>
                        <a:effectLst/>
                      </wps:spPr>
                      <wps:txbx>
                        <w:txbxContent>
                          <w:p w14:paraId="2B194772" w14:textId="77777777" w:rsidR="00804142" w:rsidRPr="000A5C3B" w:rsidRDefault="00804142" w:rsidP="006661ED">
                            <w:pPr>
                              <w:rPr>
                                <w:sz w:val="16"/>
                                <w:szCs w:val="16"/>
                              </w:rPr>
                            </w:pPr>
                            <w:r w:rsidRPr="000A5C3B">
                              <w:rPr>
                                <w:sz w:val="16"/>
                                <w:szCs w:val="16"/>
                              </w:rPr>
                              <w:t>Sio</w:t>
                            </w:r>
                            <w:r w:rsidRPr="00366C61">
                              <w:rPr>
                                <w:sz w:val="16"/>
                                <w:szCs w:val="1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597F90" id="Text Box 1802" o:spid="_x0000_s1029" type="#_x0000_t202" style="position:absolute;margin-left:291.95pt;margin-top:153.8pt;width:30.75pt;height:1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" fillcolor="window" strokeweight=".5pt">
                <v:path arrowok="t"/>
                <v:textbox>
                  <w:txbxContent>
                    <w:p w14:paraId="2B194772" w14:textId="77777777" w:rsidR="00804142" w:rsidRPr="000A5C3B" w:rsidRDefault="00804142" w:rsidP="006661ED">
                      <w:pPr>
                        <w:rPr>
                          <w:sz w:val="16"/>
                          <w:szCs w:val="16"/>
                        </w:rPr>
                      </w:pPr>
                      <w:r w:rsidRPr="000A5C3B">
                        <w:rPr>
                          <w:sz w:val="16"/>
                          <w:szCs w:val="16"/>
                        </w:rPr>
                        <w:t>Sio</w:t>
                      </w:r>
                      <w:r w:rsidRPr="00366C61">
                        <w:rPr>
                          <w:sz w:val="16"/>
                          <w:szCs w:val="16"/>
                          <w:vertAlign w:val="subscript"/>
                        </w:rPr>
                        <w:t>2</w:t>
                      </w:r>
                    </w:p>
                  </w:txbxContent>
                </v:textbox>
              </v:shape>
            </w:pict>
          </mc:Fallback>
        </mc:AlternateContent>
      </w:r>
      <w:r w:rsidR="00F41DC7" w:rsidRPr="00956C5F">
        <w:rPr>
          <w:noProof/>
          <w:sz w:val="22"/>
        </w:rPr>
        <mc:AlternateContent>
          <mc:Choice Requires="wps">
            <w:drawing>
              <wp:anchor distT="0" distB="0" distL="114300" distR="114300" simplePos="0" relativeHeight="251663872" behindDoc="0" locked="0" layoutInCell="1" allowOverlap="1" wp14:anchorId="6B019610" wp14:editId="36E6CAD7">
                <wp:simplePos x="0" y="0"/>
                <wp:positionH relativeFrom="column">
                  <wp:posOffset>2872105</wp:posOffset>
                </wp:positionH>
                <wp:positionV relativeFrom="paragraph">
                  <wp:posOffset>1200785</wp:posOffset>
                </wp:positionV>
                <wp:extent cx="588010" cy="209550"/>
                <wp:effectExtent l="0" t="0" r="21590" b="19050"/>
                <wp:wrapNone/>
                <wp:docPr id="1805" name="Text Box 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209550"/>
                        </a:xfrm>
                        <a:prstGeom prst="rect">
                          <a:avLst/>
                        </a:prstGeom>
                        <a:solidFill>
                          <a:sysClr val="window" lastClr="FFFFFF"/>
                        </a:solidFill>
                        <a:ln w="6350">
                          <a:solidFill>
                            <a:prstClr val="black"/>
                          </a:solidFill>
                        </a:ln>
                        <a:effectLst/>
                      </wps:spPr>
                      <wps:txbx>
                        <w:txbxContent>
                          <w:p w14:paraId="5FAE618B" w14:textId="77777777" w:rsidR="00804142" w:rsidRPr="005A5367" w:rsidRDefault="00804142" w:rsidP="006661ED">
                            <w:pPr>
                              <w:rPr>
                                <w:sz w:val="16"/>
                                <w:szCs w:val="16"/>
                              </w:rPr>
                            </w:pPr>
                            <w:r>
                              <w:rPr>
                                <w:sz w:val="16"/>
                                <w:szCs w:val="16"/>
                              </w:rPr>
                              <w:t>Mg (oH)</w:t>
                            </w:r>
                            <w:r w:rsidRPr="005A5367">
                              <w:rPr>
                                <w:sz w:val="16"/>
                                <w:szCs w:val="1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019610" id="Text Box 1805" o:spid="_x0000_s1030" type="#_x0000_t202" style="position:absolute;margin-left:226.15pt;margin-top:94.55pt;width:46.3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" fillcolor="window" strokeweight=".5pt">
                <v:path arrowok="t"/>
                <v:textbox>
                  <w:txbxContent>
                    <w:p w14:paraId="5FAE618B" w14:textId="77777777" w:rsidR="00804142" w:rsidRPr="005A5367" w:rsidRDefault="00804142" w:rsidP="006661ED">
                      <w:pPr>
                        <w:rPr>
                          <w:sz w:val="16"/>
                          <w:szCs w:val="16"/>
                        </w:rPr>
                      </w:pPr>
                      <w:r>
                        <w:rPr>
                          <w:sz w:val="16"/>
                          <w:szCs w:val="16"/>
                        </w:rPr>
                        <w:t>Mg (oH)</w:t>
                      </w:r>
                      <w:r w:rsidRPr="005A5367">
                        <w:rPr>
                          <w:sz w:val="16"/>
                          <w:szCs w:val="16"/>
                          <w:vertAlign w:val="subscript"/>
                        </w:rPr>
                        <w:t>2</w:t>
                      </w:r>
                    </w:p>
                  </w:txbxContent>
                </v:textbox>
              </v:shape>
            </w:pict>
          </mc:Fallback>
        </mc:AlternateContent>
      </w:r>
      <w:r w:rsidR="00F41DC7" w:rsidRPr="00956C5F">
        <w:rPr>
          <w:noProof/>
          <w:sz w:val="22"/>
        </w:rPr>
        <mc:AlternateContent>
          <mc:Choice Requires="wps">
            <w:drawing>
              <wp:anchor distT="0" distB="0" distL="114300" distR="114300" simplePos="0" relativeHeight="251666944" behindDoc="0" locked="0" layoutInCell="1" allowOverlap="1" wp14:anchorId="4F006AA7" wp14:editId="5E086C9F">
                <wp:simplePos x="0" y="0"/>
                <wp:positionH relativeFrom="column">
                  <wp:posOffset>1761490</wp:posOffset>
                </wp:positionH>
                <wp:positionV relativeFrom="paragraph">
                  <wp:posOffset>170815</wp:posOffset>
                </wp:positionV>
                <wp:extent cx="815340" cy="273685"/>
                <wp:effectExtent l="0" t="0" r="22860" b="1206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273685"/>
                        </a:xfrm>
                        <a:prstGeom prst="rect">
                          <a:avLst/>
                        </a:prstGeom>
                        <a:solidFill>
                          <a:sysClr val="window" lastClr="FFFFFF"/>
                        </a:solidFill>
                        <a:ln w="6350">
                          <a:solidFill>
                            <a:prstClr val="black"/>
                          </a:solidFill>
                        </a:ln>
                        <a:effectLst/>
                      </wps:spPr>
                      <wps:txbx>
                        <w:txbxContent>
                          <w:p w14:paraId="33DC0677" w14:textId="77777777" w:rsidR="00804142" w:rsidRPr="00A317C7" w:rsidRDefault="00804142" w:rsidP="006661ED">
                            <w:pPr>
                              <w:rPr>
                                <w:sz w:val="16"/>
                                <w:szCs w:val="16"/>
                              </w:rPr>
                            </w:pPr>
                            <w:r w:rsidRPr="00A219B8">
                              <w:rPr>
                                <w:sz w:val="16"/>
                                <w:szCs w:val="16"/>
                              </w:rPr>
                              <w:t>CaMg(CO3)2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06AA7" id="Text Box 41" o:spid="_x0000_s1031" type="#_x0000_t202" style="position:absolute;margin-left:138.7pt;margin-top:13.45pt;width:64.2pt;height:2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" fillcolor="window" strokeweight=".5pt">
                <v:path arrowok="t"/>
                <v:textbox>
                  <w:txbxContent>
                    <w:p w14:paraId="33DC0677" w14:textId="77777777" w:rsidR="00804142" w:rsidRPr="00A317C7" w:rsidRDefault="00804142" w:rsidP="006661ED">
                      <w:pPr>
                        <w:rPr>
                          <w:sz w:val="16"/>
                          <w:szCs w:val="16"/>
                        </w:rPr>
                      </w:pPr>
                      <w:r w:rsidRPr="00A219B8">
                        <w:rPr>
                          <w:sz w:val="16"/>
                          <w:szCs w:val="16"/>
                        </w:rPr>
                        <w:t>CaMg(CO3)2</w:t>
                      </w:r>
                    </w:p>
                  </w:txbxContent>
                </v:textbox>
              </v:shape>
            </w:pict>
          </mc:Fallback>
        </mc:AlternateContent>
      </w:r>
      <w:r w:rsidR="006661ED" w:rsidRPr="00956C5F">
        <w:rPr>
          <w:noProof/>
          <w:sz w:val="22"/>
        </w:rPr>
        <w:drawing>
          <wp:inline distT="0" distB="0" distL="0" distR="0" wp14:anchorId="043BF572" wp14:editId="0B43B630">
            <wp:extent cx="4629150" cy="334293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6045" cy="3340688"/>
                    </a:xfrm>
                    <a:prstGeom prst="rect">
                      <a:avLst/>
                    </a:prstGeom>
                    <a:noFill/>
                    <a:ln>
                      <a:noFill/>
                    </a:ln>
                  </pic:spPr>
                </pic:pic>
              </a:graphicData>
            </a:graphic>
          </wp:inline>
        </w:drawing>
      </w:r>
    </w:p>
    <w:p w14:paraId="384E4887" w14:textId="77777777" w:rsidR="006661ED" w:rsidRPr="00956C5F" w:rsidRDefault="006661ED" w:rsidP="00956C5F">
      <w:pPr>
        <w:spacing w:line="360" w:lineRule="auto"/>
        <w:rPr>
          <w:sz w:val="22"/>
        </w:rPr>
      </w:pPr>
      <w:r w:rsidRPr="00956C5F">
        <w:rPr>
          <w:b/>
          <w:sz w:val="22"/>
        </w:rPr>
        <w:t xml:space="preserve">Figure </w:t>
      </w:r>
      <w:r w:rsidR="005B12D0" w:rsidRPr="00956C5F">
        <w:rPr>
          <w:b/>
          <w:sz w:val="22"/>
        </w:rPr>
        <w:t>3</w:t>
      </w:r>
      <w:r w:rsidR="00DD3CE3" w:rsidRPr="00956C5F">
        <w:rPr>
          <w:sz w:val="22"/>
        </w:rPr>
        <w:t xml:space="preserve">. </w:t>
      </w:r>
      <w:r w:rsidRPr="00956C5F">
        <w:rPr>
          <w:sz w:val="22"/>
        </w:rPr>
        <w:t>X-Ray diffraction (XRD) of white powdered marble</w:t>
      </w:r>
    </w:p>
    <w:p w14:paraId="2E413DEF" w14:textId="77777777" w:rsidR="006661ED" w:rsidRPr="00956C5F" w:rsidRDefault="00A92074" w:rsidP="00956C5F">
      <w:pPr>
        <w:spacing w:line="360" w:lineRule="auto"/>
        <w:jc w:val="both"/>
        <w:rPr>
          <w:b/>
          <w:sz w:val="22"/>
          <w:highlight w:val="yellow"/>
        </w:rPr>
      </w:pPr>
      <w:r w:rsidRPr="00956C5F">
        <w:rPr>
          <w:sz w:val="22"/>
        </w:rPr>
        <w:t xml:space="preserve"> </w:t>
      </w:r>
      <w:r w:rsidR="006661ED" w:rsidRPr="00956C5F">
        <w:rPr>
          <w:i/>
          <w:sz w:val="22"/>
        </w:rPr>
        <w:t xml:space="preserve"> </w:t>
      </w:r>
      <w:bookmarkStart w:id="27" w:name="_Toc502677836"/>
      <w:r w:rsidR="006D7F89" w:rsidRPr="00956C5F">
        <w:rPr>
          <w:b/>
          <w:sz w:val="22"/>
        </w:rPr>
        <w:t>3</w:t>
      </w:r>
      <w:r w:rsidR="006661ED" w:rsidRPr="00956C5F">
        <w:rPr>
          <w:b/>
          <w:sz w:val="22"/>
        </w:rPr>
        <w:t>.</w:t>
      </w:r>
      <w:r w:rsidR="007B086B" w:rsidRPr="00956C5F">
        <w:rPr>
          <w:b/>
          <w:sz w:val="22"/>
        </w:rPr>
        <w:t>1.</w:t>
      </w:r>
      <w:r w:rsidR="006661ED" w:rsidRPr="00956C5F">
        <w:rPr>
          <w:b/>
          <w:sz w:val="22"/>
        </w:rPr>
        <w:t xml:space="preserve">3 </w:t>
      </w:r>
      <w:r w:rsidR="00504761" w:rsidRPr="00956C5F">
        <w:rPr>
          <w:b/>
          <w:sz w:val="22"/>
        </w:rPr>
        <w:t xml:space="preserve">pH of </w:t>
      </w:r>
      <w:r w:rsidR="006661ED" w:rsidRPr="00956C5F">
        <w:rPr>
          <w:b/>
          <w:sz w:val="22"/>
        </w:rPr>
        <w:t>Point zero charge</w:t>
      </w:r>
      <w:bookmarkEnd w:id="27"/>
      <w:r w:rsidR="006661ED" w:rsidRPr="00956C5F">
        <w:rPr>
          <w:b/>
          <w:sz w:val="22"/>
        </w:rPr>
        <w:t xml:space="preserve"> </w:t>
      </w:r>
      <w:r w:rsidR="00504761" w:rsidRPr="00956C5F">
        <w:rPr>
          <w:b/>
          <w:sz w:val="22"/>
        </w:rPr>
        <w:t>(</w:t>
      </w:r>
      <w:proofErr w:type="spellStart"/>
      <w:r w:rsidR="00504761" w:rsidRPr="00956C5F">
        <w:rPr>
          <w:b/>
          <w:sz w:val="22"/>
        </w:rPr>
        <w:t>pHPZC</w:t>
      </w:r>
      <w:proofErr w:type="spellEnd"/>
      <w:r w:rsidR="00504761" w:rsidRPr="00956C5F">
        <w:rPr>
          <w:b/>
          <w:sz w:val="22"/>
        </w:rPr>
        <w:t>)</w:t>
      </w:r>
    </w:p>
    <w:p w14:paraId="17F1B9F7" w14:textId="77777777" w:rsidR="00BB66BF" w:rsidRPr="00956C5F" w:rsidRDefault="00BB66BF" w:rsidP="00956C5F">
      <w:pPr>
        <w:autoSpaceDE w:val="0"/>
        <w:autoSpaceDN w:val="0"/>
        <w:adjustRightInd w:val="0"/>
        <w:spacing w:line="360" w:lineRule="auto"/>
        <w:jc w:val="both"/>
        <w:rPr>
          <w:sz w:val="22"/>
        </w:rPr>
      </w:pPr>
      <w:r w:rsidRPr="00956C5F">
        <w:rPr>
          <w:sz w:val="22"/>
        </w:rPr>
        <w:t>The point of zero charge (</w:t>
      </w:r>
      <w:proofErr w:type="spellStart"/>
      <w:r w:rsidRPr="00956C5F">
        <w:rPr>
          <w:sz w:val="22"/>
        </w:rPr>
        <w:t>pHPZC</w:t>
      </w:r>
      <w:proofErr w:type="spellEnd"/>
      <w:r w:rsidRPr="00956C5F">
        <w:rPr>
          <w:sz w:val="22"/>
        </w:rPr>
        <w:t xml:space="preserve">) of the adsorbent (powdered marble) was determined from the plot of final pH against initial pH as illustrated in </w:t>
      </w:r>
      <w:r w:rsidRPr="00956C5F">
        <w:rPr>
          <w:b/>
          <w:sz w:val="22"/>
        </w:rPr>
        <w:t>Figure 4</w:t>
      </w:r>
      <w:r w:rsidRPr="00956C5F">
        <w:rPr>
          <w:sz w:val="22"/>
        </w:rPr>
        <w:t xml:space="preserve">. As shown in the figure, the </w:t>
      </w:r>
      <w:proofErr w:type="spellStart"/>
      <w:r w:rsidRPr="00956C5F">
        <w:rPr>
          <w:sz w:val="22"/>
        </w:rPr>
        <w:t>pHPZC</w:t>
      </w:r>
      <w:proofErr w:type="spellEnd"/>
      <w:r w:rsidRPr="00956C5F">
        <w:rPr>
          <w:sz w:val="22"/>
        </w:rPr>
        <w:t xml:space="preserve"> value obtained for this study is 6. When the solution pH is below the PZC, the acidic medium provides more protons than hydroxide ions, resulting in a positively charged adsorbent surface that attracts anions. In contrast, at pH values above the PZC, the surface becomes negatively charged, thereby attracting cations and repelling anions (Hameed </w:t>
      </w:r>
      <w:r w:rsidRPr="00956C5F">
        <w:rPr>
          <w:i/>
          <w:sz w:val="22"/>
        </w:rPr>
        <w:t>et al.,</w:t>
      </w:r>
      <w:r w:rsidRPr="00956C5F">
        <w:rPr>
          <w:sz w:val="22"/>
        </w:rPr>
        <w:t xml:space="preserve"> 2008).</w:t>
      </w:r>
    </w:p>
    <w:p w14:paraId="2F77FECA" w14:textId="77777777" w:rsidR="006661ED" w:rsidRPr="00956C5F" w:rsidRDefault="00814B3D" w:rsidP="00956C5F">
      <w:pPr>
        <w:spacing w:line="360" w:lineRule="auto"/>
        <w:rPr>
          <w:sz w:val="22"/>
        </w:rPr>
      </w:pPr>
      <w:r w:rsidRPr="00956C5F">
        <w:rPr>
          <w:sz w:val="22"/>
        </w:rPr>
        <w:lastRenderedPageBreak/>
        <w:t xml:space="preserve"> </w:t>
      </w:r>
      <w:r w:rsidR="006661ED" w:rsidRPr="00956C5F">
        <w:rPr>
          <w:noProof/>
          <w:sz w:val="22"/>
        </w:rPr>
        <w:drawing>
          <wp:inline distT="0" distB="0" distL="0" distR="0" wp14:anchorId="3FB10383" wp14:editId="04E09BA6">
            <wp:extent cx="4121624" cy="2284730"/>
            <wp:effectExtent l="0" t="0" r="12700" b="127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765EDB" w14:textId="77777777" w:rsidR="006661ED" w:rsidRPr="00956C5F" w:rsidRDefault="006661ED" w:rsidP="00956C5F">
      <w:pPr>
        <w:spacing w:line="360" w:lineRule="auto"/>
        <w:rPr>
          <w:bCs/>
          <w:sz w:val="22"/>
        </w:rPr>
      </w:pPr>
      <w:r w:rsidRPr="00956C5F">
        <w:rPr>
          <w:b/>
          <w:sz w:val="22"/>
        </w:rPr>
        <w:t xml:space="preserve">Figure </w:t>
      </w:r>
      <w:r w:rsidR="005B12D0" w:rsidRPr="00956C5F">
        <w:rPr>
          <w:b/>
          <w:sz w:val="22"/>
        </w:rPr>
        <w:t>4</w:t>
      </w:r>
      <w:r w:rsidR="002C23D7" w:rsidRPr="00956C5F">
        <w:rPr>
          <w:b/>
          <w:sz w:val="22"/>
        </w:rPr>
        <w:t>.</w:t>
      </w:r>
      <w:r w:rsidRPr="00956C5F">
        <w:rPr>
          <w:sz w:val="22"/>
        </w:rPr>
        <w:t xml:space="preserve"> </w:t>
      </w:r>
      <w:proofErr w:type="spellStart"/>
      <w:r w:rsidRPr="00956C5F">
        <w:rPr>
          <w:sz w:val="22"/>
        </w:rPr>
        <w:t>pHpzc</w:t>
      </w:r>
      <w:proofErr w:type="spellEnd"/>
      <w:r w:rsidRPr="00956C5F">
        <w:rPr>
          <w:sz w:val="22"/>
        </w:rPr>
        <w:t xml:space="preserve"> determination using pH drifts method</w:t>
      </w:r>
    </w:p>
    <w:p w14:paraId="3D21B85F" w14:textId="77777777" w:rsidR="006661ED" w:rsidRPr="00956C5F" w:rsidRDefault="006D7F89" w:rsidP="00956C5F">
      <w:pPr>
        <w:pStyle w:val="Heading2"/>
        <w:spacing w:before="0" w:line="360" w:lineRule="auto"/>
        <w:jc w:val="both"/>
        <w:rPr>
          <w:rFonts w:ascii="Times New Roman" w:hAnsi="Times New Roman"/>
          <w:color w:val="auto"/>
          <w:sz w:val="22"/>
          <w:szCs w:val="22"/>
        </w:rPr>
      </w:pPr>
      <w:bookmarkStart w:id="28" w:name="_Toc502677837"/>
      <w:r w:rsidRPr="00956C5F">
        <w:rPr>
          <w:rFonts w:ascii="Times New Roman" w:hAnsi="Times New Roman"/>
          <w:color w:val="auto"/>
          <w:sz w:val="22"/>
          <w:szCs w:val="22"/>
          <w:lang w:val="en-US"/>
        </w:rPr>
        <w:t>3</w:t>
      </w:r>
      <w:r w:rsidR="006661ED" w:rsidRPr="00956C5F">
        <w:rPr>
          <w:rFonts w:ascii="Times New Roman" w:hAnsi="Times New Roman"/>
          <w:color w:val="auto"/>
          <w:sz w:val="22"/>
          <w:szCs w:val="22"/>
        </w:rPr>
        <w:t>.</w:t>
      </w:r>
      <w:r w:rsidR="007B086B" w:rsidRPr="00956C5F">
        <w:rPr>
          <w:rFonts w:ascii="Times New Roman" w:hAnsi="Times New Roman"/>
          <w:color w:val="auto"/>
          <w:sz w:val="22"/>
          <w:szCs w:val="22"/>
          <w:lang w:val="en-US"/>
        </w:rPr>
        <w:t>2</w:t>
      </w:r>
      <w:r w:rsidR="006661ED" w:rsidRPr="00956C5F">
        <w:rPr>
          <w:rFonts w:ascii="Times New Roman" w:hAnsi="Times New Roman"/>
          <w:color w:val="auto"/>
          <w:sz w:val="22"/>
          <w:szCs w:val="22"/>
        </w:rPr>
        <w:t xml:space="preserve"> Effects of operating conditions</w:t>
      </w:r>
      <w:bookmarkEnd w:id="28"/>
      <w:r w:rsidR="006661ED" w:rsidRPr="00956C5F">
        <w:rPr>
          <w:rFonts w:ascii="Times New Roman" w:hAnsi="Times New Roman"/>
          <w:color w:val="auto"/>
          <w:sz w:val="22"/>
          <w:szCs w:val="22"/>
        </w:rPr>
        <w:t xml:space="preserve"> </w:t>
      </w:r>
    </w:p>
    <w:p w14:paraId="51AAF2EC" w14:textId="77777777" w:rsidR="006661ED" w:rsidRPr="00C92AFF" w:rsidRDefault="006D7F89" w:rsidP="00956C5F">
      <w:pPr>
        <w:pStyle w:val="Heading3"/>
        <w:spacing w:before="0" w:line="360" w:lineRule="auto"/>
        <w:jc w:val="both"/>
        <w:rPr>
          <w:rFonts w:ascii="Times New Roman" w:hAnsi="Times New Roman"/>
          <w:i/>
          <w:iCs/>
          <w:color w:val="auto"/>
          <w:sz w:val="22"/>
          <w:szCs w:val="22"/>
        </w:rPr>
      </w:pPr>
      <w:bookmarkStart w:id="29" w:name="_Toc502677838"/>
      <w:r w:rsidRPr="00C92AFF">
        <w:rPr>
          <w:rFonts w:ascii="Times New Roman" w:hAnsi="Times New Roman"/>
          <w:i/>
          <w:iCs/>
          <w:color w:val="auto"/>
          <w:sz w:val="22"/>
          <w:szCs w:val="22"/>
          <w:lang w:val="en-US"/>
        </w:rPr>
        <w:t>3</w:t>
      </w:r>
      <w:r w:rsidR="006661ED" w:rsidRPr="00C92AFF">
        <w:rPr>
          <w:rFonts w:ascii="Times New Roman" w:hAnsi="Times New Roman"/>
          <w:i/>
          <w:iCs/>
          <w:color w:val="auto"/>
          <w:sz w:val="22"/>
          <w:szCs w:val="22"/>
        </w:rPr>
        <w:t>.</w:t>
      </w:r>
      <w:r w:rsidR="007B086B" w:rsidRPr="00C92AFF">
        <w:rPr>
          <w:rFonts w:ascii="Times New Roman" w:hAnsi="Times New Roman"/>
          <w:i/>
          <w:iCs/>
          <w:color w:val="auto"/>
          <w:sz w:val="22"/>
          <w:szCs w:val="22"/>
          <w:lang w:val="en-US"/>
        </w:rPr>
        <w:t>2</w:t>
      </w:r>
      <w:r w:rsidR="006661ED" w:rsidRPr="00C92AFF">
        <w:rPr>
          <w:rFonts w:ascii="Times New Roman" w:hAnsi="Times New Roman"/>
          <w:i/>
          <w:iCs/>
          <w:color w:val="auto"/>
          <w:sz w:val="22"/>
          <w:szCs w:val="22"/>
        </w:rPr>
        <w:t>.1 Effects of solution pH</w:t>
      </w:r>
      <w:bookmarkEnd w:id="29"/>
    </w:p>
    <w:p w14:paraId="26361C7B" w14:textId="77777777" w:rsidR="006661ED" w:rsidRPr="00956C5F" w:rsidRDefault="00814B3D" w:rsidP="00956C5F">
      <w:pPr>
        <w:autoSpaceDE w:val="0"/>
        <w:autoSpaceDN w:val="0"/>
        <w:adjustRightInd w:val="0"/>
        <w:spacing w:after="0" w:line="360" w:lineRule="auto"/>
        <w:jc w:val="both"/>
        <w:rPr>
          <w:sz w:val="22"/>
        </w:rPr>
      </w:pPr>
      <w:r w:rsidRPr="00956C5F">
        <w:rPr>
          <w:sz w:val="22"/>
        </w:rPr>
        <w:t>p</w:t>
      </w:r>
      <w:r w:rsidR="006661ED" w:rsidRPr="00956C5F">
        <w:rPr>
          <w:sz w:val="22"/>
        </w:rPr>
        <w:t>H is an important parameter for adsorption of metal ions from aqueous solution because it affects the solubility of the metal ions, concentration of the counter ions on the functional groups of the adsorbent and the degree of ionization of the adsorbate. Chromium formed stable anions, such as Cr</w:t>
      </w:r>
      <w:r w:rsidR="006661ED" w:rsidRPr="00956C5F">
        <w:rPr>
          <w:sz w:val="22"/>
          <w:vertAlign w:val="subscript"/>
        </w:rPr>
        <w:t>2</w:t>
      </w:r>
      <w:r w:rsidR="006661ED" w:rsidRPr="00956C5F">
        <w:rPr>
          <w:sz w:val="22"/>
        </w:rPr>
        <w:t>O</w:t>
      </w:r>
      <w:r w:rsidR="006661ED" w:rsidRPr="00956C5F">
        <w:rPr>
          <w:sz w:val="22"/>
          <w:vertAlign w:val="subscript"/>
        </w:rPr>
        <w:t>7</w:t>
      </w:r>
      <w:r w:rsidR="006661ED" w:rsidRPr="00956C5F">
        <w:rPr>
          <w:sz w:val="22"/>
          <w:vertAlign w:val="superscript"/>
        </w:rPr>
        <w:t>2-</w:t>
      </w:r>
      <w:r w:rsidR="006661ED" w:rsidRPr="00956C5F">
        <w:rPr>
          <w:sz w:val="22"/>
        </w:rPr>
        <w:t>, HCrO</w:t>
      </w:r>
      <w:r w:rsidR="006661ED" w:rsidRPr="00956C5F">
        <w:rPr>
          <w:sz w:val="22"/>
          <w:vertAlign w:val="subscript"/>
        </w:rPr>
        <w:t>4</w:t>
      </w:r>
      <w:r w:rsidR="006661ED" w:rsidRPr="00956C5F">
        <w:rPr>
          <w:sz w:val="22"/>
          <w:vertAlign w:val="superscript"/>
        </w:rPr>
        <w:t>-</w:t>
      </w:r>
      <w:r w:rsidR="006661ED" w:rsidRPr="00956C5F">
        <w:rPr>
          <w:sz w:val="22"/>
        </w:rPr>
        <w:t>, CrO</w:t>
      </w:r>
      <w:r w:rsidR="006661ED" w:rsidRPr="00956C5F">
        <w:rPr>
          <w:sz w:val="22"/>
          <w:vertAlign w:val="subscript"/>
        </w:rPr>
        <w:t>4</w:t>
      </w:r>
      <w:r w:rsidR="006661ED" w:rsidRPr="00956C5F">
        <w:rPr>
          <w:sz w:val="22"/>
          <w:vertAlign w:val="superscript"/>
        </w:rPr>
        <w:t>2</w:t>
      </w:r>
      <w:r w:rsidR="00E1559D" w:rsidRPr="00956C5F">
        <w:rPr>
          <w:sz w:val="22"/>
          <w:vertAlign w:val="superscript"/>
        </w:rPr>
        <w:t>-</w:t>
      </w:r>
      <w:r w:rsidR="006661ED" w:rsidRPr="00956C5F">
        <w:rPr>
          <w:sz w:val="22"/>
        </w:rPr>
        <w:t>, and HCr</w:t>
      </w:r>
      <w:r w:rsidR="006661ED" w:rsidRPr="00956C5F">
        <w:rPr>
          <w:sz w:val="22"/>
          <w:vertAlign w:val="subscript"/>
        </w:rPr>
        <w:t>2</w:t>
      </w:r>
      <w:r w:rsidR="006661ED" w:rsidRPr="00956C5F">
        <w:rPr>
          <w:sz w:val="22"/>
        </w:rPr>
        <w:t>O</w:t>
      </w:r>
      <w:r w:rsidR="006661ED" w:rsidRPr="00956C5F">
        <w:rPr>
          <w:sz w:val="22"/>
          <w:vertAlign w:val="subscript"/>
        </w:rPr>
        <w:t>7</w:t>
      </w:r>
      <w:r w:rsidR="006661ED" w:rsidRPr="00956C5F">
        <w:rPr>
          <w:sz w:val="22"/>
          <w:vertAlign w:val="superscript"/>
        </w:rPr>
        <w:t>-</w:t>
      </w:r>
      <w:r w:rsidR="006661ED" w:rsidRPr="00956C5F">
        <w:rPr>
          <w:sz w:val="22"/>
        </w:rPr>
        <w:t>, and the stability of these forms is mainly depending on the pH of the solution.</w:t>
      </w:r>
    </w:p>
    <w:p w14:paraId="04EF5EDF" w14:textId="77777777" w:rsidR="00E1559D" w:rsidRPr="00956C5F" w:rsidRDefault="00E1559D" w:rsidP="00956C5F">
      <w:pPr>
        <w:autoSpaceDE w:val="0"/>
        <w:autoSpaceDN w:val="0"/>
        <w:adjustRightInd w:val="0"/>
        <w:spacing w:after="0" w:line="360" w:lineRule="auto"/>
        <w:jc w:val="both"/>
        <w:rPr>
          <w:sz w:val="22"/>
        </w:rPr>
      </w:pPr>
    </w:p>
    <w:p w14:paraId="6E174FB9" w14:textId="77777777" w:rsidR="006661ED" w:rsidRPr="00956C5F" w:rsidRDefault="006661ED" w:rsidP="00956C5F">
      <w:pPr>
        <w:autoSpaceDE w:val="0"/>
        <w:autoSpaceDN w:val="0"/>
        <w:adjustRightInd w:val="0"/>
        <w:spacing w:after="0" w:line="360" w:lineRule="auto"/>
        <w:jc w:val="both"/>
        <w:rPr>
          <w:sz w:val="22"/>
        </w:rPr>
      </w:pPr>
      <w:r w:rsidRPr="00956C5F">
        <w:rPr>
          <w:sz w:val="22"/>
        </w:rPr>
        <w:t xml:space="preserve">In this </w:t>
      </w:r>
      <w:r w:rsidR="008543B3" w:rsidRPr="00956C5F">
        <w:rPr>
          <w:sz w:val="22"/>
        </w:rPr>
        <w:t>study</w:t>
      </w:r>
      <w:r w:rsidRPr="00956C5F">
        <w:rPr>
          <w:sz w:val="22"/>
        </w:rPr>
        <w:t xml:space="preserve"> adsorption of </w:t>
      </w:r>
      <w:r w:rsidR="008543B3" w:rsidRPr="00956C5F">
        <w:rPr>
          <w:sz w:val="22"/>
        </w:rPr>
        <w:t>chromium (VI)</w:t>
      </w:r>
      <w:r w:rsidRPr="00956C5F">
        <w:rPr>
          <w:sz w:val="22"/>
        </w:rPr>
        <w:t xml:space="preserve"> on PMW was studied at varying pH values to optimize the metal removal (</w:t>
      </w:r>
      <w:r w:rsidRPr="00956C5F">
        <w:rPr>
          <w:b/>
          <w:sz w:val="22"/>
        </w:rPr>
        <w:t>Figure</w:t>
      </w:r>
      <w:r w:rsidR="00E1559D" w:rsidRPr="00956C5F">
        <w:rPr>
          <w:b/>
          <w:sz w:val="22"/>
        </w:rPr>
        <w:t xml:space="preserve"> </w:t>
      </w:r>
      <w:r w:rsidRPr="00956C5F">
        <w:rPr>
          <w:b/>
          <w:sz w:val="22"/>
        </w:rPr>
        <w:t>5</w:t>
      </w:r>
      <w:r w:rsidRPr="00956C5F">
        <w:rPr>
          <w:sz w:val="22"/>
        </w:rPr>
        <w:t>). It was apparent that the uptake is quite low at low pH values. However, with increasing the pH, a significant enhancement in adsorption is recorded reaching a maximum value, at pH 6 from a solution with initial chromium concentration of 20 mg/</w:t>
      </w:r>
      <w:r w:rsidR="00E1559D" w:rsidRPr="00956C5F">
        <w:rPr>
          <w:sz w:val="22"/>
        </w:rPr>
        <w:t>L</w:t>
      </w:r>
      <w:r w:rsidRPr="00956C5F">
        <w:rPr>
          <w:sz w:val="22"/>
        </w:rPr>
        <w:t>.</w:t>
      </w:r>
      <w:r w:rsidR="00E1559D" w:rsidRPr="00956C5F">
        <w:rPr>
          <w:sz w:val="22"/>
        </w:rPr>
        <w:t xml:space="preserve"> </w:t>
      </w:r>
      <w:r w:rsidRPr="00956C5F">
        <w:rPr>
          <w:sz w:val="22"/>
        </w:rPr>
        <w:t>At pH values below 2.0, the removal of Cr ions reaches zero because of near solubility of the sorbent (consists mainly of CaCO</w:t>
      </w:r>
      <w:r w:rsidRPr="00956C5F">
        <w:rPr>
          <w:sz w:val="22"/>
          <w:vertAlign w:val="subscript"/>
        </w:rPr>
        <w:t>3</w:t>
      </w:r>
      <w:r w:rsidR="00695B65" w:rsidRPr="00956C5F">
        <w:rPr>
          <w:sz w:val="22"/>
        </w:rPr>
        <w:t xml:space="preserve">), </w:t>
      </w:r>
      <w:r w:rsidRPr="00956C5F">
        <w:rPr>
          <w:sz w:val="22"/>
        </w:rPr>
        <w:t>there by hindering the sorption process. Between pH 3 and 6, the percentage removal increases sharply which may be attributed to a possible ion-exchange mechanism between Cr</w:t>
      </w:r>
      <w:r w:rsidR="00A36FA5" w:rsidRPr="00956C5F">
        <w:rPr>
          <w:sz w:val="22"/>
        </w:rPr>
        <w:t>(VI</w:t>
      </w:r>
      <w:r w:rsidR="008543B3" w:rsidRPr="00956C5F">
        <w:rPr>
          <w:sz w:val="22"/>
        </w:rPr>
        <w:t>)</w:t>
      </w:r>
      <w:r w:rsidRPr="00956C5F">
        <w:rPr>
          <w:sz w:val="22"/>
        </w:rPr>
        <w:t xml:space="preserve"> ions and calcium containing </w:t>
      </w:r>
      <w:r w:rsidR="008543B3" w:rsidRPr="00956C5F">
        <w:rPr>
          <w:sz w:val="22"/>
        </w:rPr>
        <w:t>marble powder</w:t>
      </w:r>
      <w:r w:rsidRPr="00956C5F">
        <w:rPr>
          <w:sz w:val="22"/>
        </w:rPr>
        <w:t xml:space="preserve"> </w:t>
      </w:r>
      <w:r w:rsidRPr="00956C5F">
        <w:rPr>
          <w:sz w:val="22"/>
        </w:rPr>
        <w:fldChar w:fldCharType="begin"/>
      </w:r>
      <w:r w:rsidRPr="00956C5F">
        <w:rPr>
          <w:sz w:val="22"/>
        </w:rPr>
        <w:instrText xml:space="preserve"> ADDIN EN.CITE &lt;EndNote&gt;&lt;Cite&gt;&lt;Author&gt;Mandjiny&lt;/Author&gt;&lt;Year&gt;1995&lt;/Year&gt;&lt;RecNum&gt;84&lt;/RecNum&gt;&lt;DisplayText&gt;(Mandjiny, Zouboulis, &amp;amp; Matis, 1995)&lt;/DisplayText&gt;&lt;record&gt;&lt;rec-number&gt;84&lt;/rec-number&gt;&lt;foreign-keys&gt;&lt;key app="EN" db-id="502dfepz89ep2ues9pfptderdf5005vpr250" timestamp="1513265122"&gt;84&lt;/key&gt;&lt;/foreign-keys&gt;&lt;ref-type name="Journal Article"&gt;17&lt;/ref-type&gt;&lt;contributors&gt;&lt;authors&gt;&lt;author&gt;Mandjiny, S&lt;/author&gt;&lt;author&gt;Zouboulis, AI&lt;/author&gt;&lt;author&gt;Matis, KA&lt;/author&gt;&lt;/authors&gt;&lt;/contributors&gt;&lt;titles&gt;&lt;title&gt;Removal of cadmium from dilute solutions by hydroxyapatite. I. Sorption studies&lt;/title&gt;&lt;secondary-title&gt;Separation science and technology&lt;/secondary-title&gt;&lt;/titles&gt;&lt;periodical&gt;&lt;full-title&gt;Separation science and technology&lt;/full-title&gt;&lt;/periodical&gt;&lt;pages&gt;2963-2978&lt;/pages&gt;&lt;volume&gt;30&lt;/volume&gt;&lt;number&gt;15&lt;/number&gt;&lt;dates&gt;&lt;year&gt;1995&lt;/year&gt;&lt;/dates&gt;&lt;isbn&gt;0149-6395&lt;/isbn&gt;&lt;urls&gt;&lt;/urls&gt;&lt;/record&gt;&lt;/Cite&gt;&lt;/EndNote&gt;</w:instrText>
      </w:r>
      <w:r w:rsidRPr="00956C5F">
        <w:rPr>
          <w:sz w:val="22"/>
        </w:rPr>
        <w:fldChar w:fldCharType="separate"/>
      </w:r>
      <w:r w:rsidRPr="00956C5F">
        <w:rPr>
          <w:noProof/>
          <w:sz w:val="22"/>
        </w:rPr>
        <w:t>(Mandjiny</w:t>
      </w:r>
      <w:r w:rsidR="00E1559D" w:rsidRPr="00956C5F">
        <w:rPr>
          <w:noProof/>
          <w:sz w:val="22"/>
        </w:rPr>
        <w:t xml:space="preserve"> </w:t>
      </w:r>
      <w:r w:rsidR="00E1559D" w:rsidRPr="00956C5F">
        <w:rPr>
          <w:i/>
          <w:noProof/>
          <w:sz w:val="22"/>
        </w:rPr>
        <w:t>et al.,</w:t>
      </w:r>
      <w:r w:rsidRPr="00956C5F">
        <w:rPr>
          <w:i/>
          <w:noProof/>
          <w:sz w:val="22"/>
        </w:rPr>
        <w:t xml:space="preserve"> </w:t>
      </w:r>
      <w:r w:rsidRPr="00956C5F">
        <w:rPr>
          <w:noProof/>
          <w:sz w:val="22"/>
        </w:rPr>
        <w:t>1995)</w:t>
      </w:r>
      <w:r w:rsidRPr="00956C5F">
        <w:rPr>
          <w:sz w:val="22"/>
        </w:rPr>
        <w:fldChar w:fldCharType="end"/>
      </w:r>
      <w:r w:rsidRPr="00956C5F">
        <w:rPr>
          <w:sz w:val="22"/>
        </w:rPr>
        <w:t>. Adsorbed chromium</w:t>
      </w:r>
      <w:r w:rsidR="00A36FA5" w:rsidRPr="00956C5F">
        <w:rPr>
          <w:sz w:val="22"/>
        </w:rPr>
        <w:t>(VI)</w:t>
      </w:r>
      <w:r w:rsidRPr="00956C5F">
        <w:rPr>
          <w:sz w:val="22"/>
        </w:rPr>
        <w:t xml:space="preserve"> ions generally occupy calcium sites within the calcite lattice </w:t>
      </w:r>
      <w:r w:rsidRPr="00956C5F">
        <w:rPr>
          <w:sz w:val="22"/>
        </w:rPr>
        <w:fldChar w:fldCharType="begin"/>
      </w:r>
      <w:r w:rsidRPr="00956C5F">
        <w:rPr>
          <w:sz w:val="22"/>
        </w:rPr>
        <w:instrText xml:space="preserve"> ADDIN EN.CITE &lt;EndNote&gt;&lt;Cite&gt;&lt;Author&gt;Ghazy&lt;/Author&gt;&lt;Year&gt;2014&lt;/Year&gt;&lt;RecNum&gt;101&lt;/RecNum&gt;&lt;DisplayText&gt;(S. E. Ghazy &amp;amp; Gad, 2014)&lt;/DisplayText&gt;&lt;record&gt;&lt;rec-number&gt;101&lt;/rec-number&gt;&lt;foreign-keys&gt;&lt;key app="EN" db-id="502dfepz89ep2ues9pfptderdf5005vpr250" timestamp="1513586023"&gt;101&lt;/key&gt;&lt;/foreign-keys&gt;&lt;ref-type name="Journal Article"&gt;17&lt;/ref-type&gt;&lt;contributors&gt;&lt;authors&gt;&lt;author&gt;Ghazy, Shaban E&lt;/author&gt;&lt;author&gt;Gad, Abdullah HM&lt;/author&gt;&lt;/authors&gt;&lt;/contributors&gt;&lt;titles&gt;&lt;title&gt;Lead separation by sorption onto powdered marble waste&lt;/title&gt;&lt;secondary-title&gt;Arabian Journal of Chemistry&lt;/secondary-title&gt;&lt;/titles&gt;&lt;periodical&gt;&lt;full-title&gt;Arabian Journal of Chemistry&lt;/full-title&gt;&lt;/periodical&gt;&lt;pages&gt;277-286&lt;/pages&gt;&lt;volume&gt;7&lt;/volume&gt;&lt;number&gt;3&lt;/number&gt;&lt;dates&gt;&lt;year&gt;2014&lt;/year&gt;&lt;/dates&gt;&lt;isbn&gt;1878-5352&lt;/isbn&gt;&lt;urls&gt;&lt;/urls&gt;&lt;/record&gt;&lt;/Cite&gt;&lt;/EndNote&gt;</w:instrText>
      </w:r>
      <w:r w:rsidRPr="00956C5F">
        <w:rPr>
          <w:sz w:val="22"/>
        </w:rPr>
        <w:fldChar w:fldCharType="separate"/>
      </w:r>
      <w:r w:rsidRPr="00956C5F">
        <w:rPr>
          <w:noProof/>
          <w:sz w:val="22"/>
        </w:rPr>
        <w:t>( Ghazy &amp; Gad, 2014)</w:t>
      </w:r>
      <w:r w:rsidRPr="00956C5F">
        <w:rPr>
          <w:sz w:val="22"/>
        </w:rPr>
        <w:fldChar w:fldCharType="end"/>
      </w:r>
      <w:r w:rsidRPr="00956C5F">
        <w:rPr>
          <w:sz w:val="22"/>
        </w:rPr>
        <w:t>.</w:t>
      </w:r>
      <w:r w:rsidR="00172DE0" w:rsidRPr="00956C5F">
        <w:rPr>
          <w:sz w:val="22"/>
        </w:rPr>
        <w:t xml:space="preserve"> </w:t>
      </w:r>
      <w:r w:rsidR="00A36FA5" w:rsidRPr="00956C5F">
        <w:rPr>
          <w:sz w:val="22"/>
        </w:rPr>
        <w:t>Above</w:t>
      </w:r>
      <w:r w:rsidRPr="00956C5F">
        <w:rPr>
          <w:sz w:val="22"/>
        </w:rPr>
        <w:t xml:space="preserve"> pH 6</w:t>
      </w:r>
      <w:r w:rsidR="00172DE0" w:rsidRPr="00956C5F">
        <w:rPr>
          <w:sz w:val="22"/>
        </w:rPr>
        <w:t>,</w:t>
      </w:r>
      <w:r w:rsidRPr="00956C5F">
        <w:rPr>
          <w:sz w:val="22"/>
        </w:rPr>
        <w:t xml:space="preserve"> there is a possibility of chromium</w:t>
      </w:r>
      <w:r w:rsidR="00CB6826" w:rsidRPr="00956C5F">
        <w:rPr>
          <w:sz w:val="22"/>
        </w:rPr>
        <w:t xml:space="preserve"> </w:t>
      </w:r>
      <w:r w:rsidRPr="00956C5F">
        <w:rPr>
          <w:sz w:val="22"/>
        </w:rPr>
        <w:t>precipitation on the surface of the adsorbent as CrCO</w:t>
      </w:r>
      <w:r w:rsidRPr="00956C5F">
        <w:rPr>
          <w:sz w:val="22"/>
          <w:vertAlign w:val="subscript"/>
        </w:rPr>
        <w:t xml:space="preserve">3 </w:t>
      </w:r>
      <w:r w:rsidRPr="00956C5F">
        <w:rPr>
          <w:sz w:val="22"/>
        </w:rPr>
        <w:t xml:space="preserve">and or </w:t>
      </w:r>
      <w:r w:rsidR="006E4617" w:rsidRPr="00956C5F">
        <w:rPr>
          <w:sz w:val="22"/>
        </w:rPr>
        <w:t>Cr (</w:t>
      </w:r>
      <w:r w:rsidRPr="00956C5F">
        <w:rPr>
          <w:sz w:val="22"/>
        </w:rPr>
        <w:t xml:space="preserve">OH) forming successive layers on the adsorbent surface. </w:t>
      </w:r>
    </w:p>
    <w:p w14:paraId="0F5A6DB0" w14:textId="77777777" w:rsidR="00774C87" w:rsidRPr="00956C5F" w:rsidRDefault="00E65C50" w:rsidP="00956C5F">
      <w:pPr>
        <w:autoSpaceDE w:val="0"/>
        <w:autoSpaceDN w:val="0"/>
        <w:adjustRightInd w:val="0"/>
        <w:spacing w:line="360" w:lineRule="auto"/>
        <w:jc w:val="both"/>
        <w:rPr>
          <w:sz w:val="22"/>
        </w:rPr>
      </w:pPr>
      <w:r w:rsidRPr="00956C5F">
        <w:rPr>
          <w:noProof/>
          <w:sz w:val="22"/>
        </w:rPr>
        <w:lastRenderedPageBreak/>
        <w:drawing>
          <wp:anchor distT="0" distB="0" distL="114300" distR="114300" simplePos="0" relativeHeight="251670016" behindDoc="0" locked="0" layoutInCell="1" allowOverlap="1" wp14:anchorId="37BFE7BA" wp14:editId="58299BCB">
            <wp:simplePos x="0" y="0"/>
            <wp:positionH relativeFrom="column">
              <wp:posOffset>-27305</wp:posOffset>
            </wp:positionH>
            <wp:positionV relativeFrom="paragraph">
              <wp:posOffset>165100</wp:posOffset>
            </wp:positionV>
            <wp:extent cx="3994150" cy="2413000"/>
            <wp:effectExtent l="0" t="0" r="25400" b="25400"/>
            <wp:wrapSquare wrapText="bothSides"/>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B2EA79F" w14:textId="77777777" w:rsidR="00380135" w:rsidRPr="00956C5F" w:rsidRDefault="00380135" w:rsidP="00956C5F">
      <w:pPr>
        <w:tabs>
          <w:tab w:val="left" w:pos="3412"/>
        </w:tabs>
        <w:spacing w:after="0" w:line="360" w:lineRule="auto"/>
        <w:rPr>
          <w:b/>
          <w:bCs/>
          <w:iCs/>
          <w:sz w:val="22"/>
        </w:rPr>
      </w:pPr>
      <w:r w:rsidRPr="00956C5F">
        <w:rPr>
          <w:sz w:val="22"/>
        </w:rPr>
        <w:br w:type="textWrapping" w:clear="all"/>
      </w:r>
    </w:p>
    <w:p w14:paraId="463FB519" w14:textId="1F38DA96" w:rsidR="00DE5E01" w:rsidRPr="00C92AFF" w:rsidRDefault="002C23D7" w:rsidP="00C92AFF">
      <w:pPr>
        <w:tabs>
          <w:tab w:val="left" w:pos="3412"/>
        </w:tabs>
        <w:spacing w:after="0" w:line="360" w:lineRule="auto"/>
        <w:rPr>
          <w:iCs/>
          <w:sz w:val="22"/>
        </w:rPr>
      </w:pPr>
      <w:r w:rsidRPr="00956C5F">
        <w:rPr>
          <w:b/>
          <w:bCs/>
          <w:iCs/>
          <w:sz w:val="22"/>
        </w:rPr>
        <w:t xml:space="preserve">Figure </w:t>
      </w:r>
      <w:r w:rsidR="005B12D0" w:rsidRPr="00956C5F">
        <w:rPr>
          <w:b/>
          <w:bCs/>
          <w:iCs/>
          <w:sz w:val="22"/>
        </w:rPr>
        <w:t xml:space="preserve">5. </w:t>
      </w:r>
      <w:r w:rsidRPr="00956C5F">
        <w:rPr>
          <w:b/>
          <w:bCs/>
          <w:iCs/>
          <w:sz w:val="22"/>
        </w:rPr>
        <w:t xml:space="preserve"> </w:t>
      </w:r>
      <w:r w:rsidR="006661ED" w:rsidRPr="00956C5F">
        <w:rPr>
          <w:iCs/>
          <w:sz w:val="22"/>
        </w:rPr>
        <w:t xml:space="preserve">Effect of pH on </w:t>
      </w:r>
      <w:proofErr w:type="gramStart"/>
      <w:r w:rsidR="001A0C45" w:rsidRPr="00956C5F">
        <w:rPr>
          <w:iCs/>
          <w:sz w:val="22"/>
        </w:rPr>
        <w:t>Cr(</w:t>
      </w:r>
      <w:proofErr w:type="gramEnd"/>
      <w:r w:rsidR="001A0C45" w:rsidRPr="00956C5F">
        <w:rPr>
          <w:iCs/>
          <w:sz w:val="22"/>
        </w:rPr>
        <w:t>VI) removal efficiency (</w:t>
      </w:r>
      <w:proofErr w:type="spellStart"/>
      <w:r w:rsidR="001A0C45" w:rsidRPr="00956C5F">
        <w:rPr>
          <w:iCs/>
          <w:sz w:val="22"/>
        </w:rPr>
        <w:t>Temprature</w:t>
      </w:r>
      <w:proofErr w:type="spellEnd"/>
      <w:r w:rsidR="001A0C45" w:rsidRPr="00956C5F">
        <w:rPr>
          <w:iCs/>
          <w:sz w:val="22"/>
        </w:rPr>
        <w:t xml:space="preserve"> </w:t>
      </w:r>
      <w:r w:rsidR="006661ED" w:rsidRPr="00956C5F">
        <w:rPr>
          <w:iCs/>
          <w:sz w:val="22"/>
        </w:rPr>
        <w:t xml:space="preserve">=55 </w:t>
      </w:r>
      <w:proofErr w:type="spellStart"/>
      <w:r w:rsidR="006661ED" w:rsidRPr="00956C5F">
        <w:rPr>
          <w:iCs/>
          <w:sz w:val="22"/>
          <w:vertAlign w:val="superscript"/>
        </w:rPr>
        <w:t>o</w:t>
      </w:r>
      <w:r w:rsidR="006661ED" w:rsidRPr="00956C5F">
        <w:rPr>
          <w:iCs/>
          <w:sz w:val="22"/>
        </w:rPr>
        <w:t>c</w:t>
      </w:r>
      <w:proofErr w:type="spellEnd"/>
      <w:r w:rsidR="006661ED" w:rsidRPr="00956C5F">
        <w:rPr>
          <w:iCs/>
          <w:sz w:val="22"/>
        </w:rPr>
        <w:t xml:space="preserve">, Dose = </w:t>
      </w:r>
      <w:r w:rsidR="001A0C45" w:rsidRPr="00956C5F">
        <w:rPr>
          <w:iCs/>
          <w:sz w:val="22"/>
        </w:rPr>
        <w:t xml:space="preserve">40 g/L, t =12hrs </w:t>
      </w:r>
      <w:r w:rsidR="006661ED" w:rsidRPr="00956C5F">
        <w:rPr>
          <w:iCs/>
          <w:sz w:val="22"/>
        </w:rPr>
        <w:t xml:space="preserve">and </w:t>
      </w:r>
      <w:r w:rsidR="001A0C45" w:rsidRPr="00956C5F">
        <w:rPr>
          <w:iCs/>
          <w:sz w:val="22"/>
        </w:rPr>
        <w:t xml:space="preserve">initial </w:t>
      </w:r>
      <w:r w:rsidR="006661ED" w:rsidRPr="00956C5F">
        <w:rPr>
          <w:iCs/>
          <w:sz w:val="22"/>
        </w:rPr>
        <w:t>C</w:t>
      </w:r>
      <w:r w:rsidR="001A0C45" w:rsidRPr="00956C5F">
        <w:rPr>
          <w:iCs/>
          <w:sz w:val="22"/>
        </w:rPr>
        <w:t>onc</w:t>
      </w:r>
      <w:r w:rsidR="006661ED" w:rsidRPr="00956C5F">
        <w:rPr>
          <w:iCs/>
          <w:sz w:val="22"/>
        </w:rPr>
        <w:t xml:space="preserve"> = 20 mg/</w:t>
      </w:r>
      <w:r w:rsidR="00380135" w:rsidRPr="00956C5F">
        <w:rPr>
          <w:iCs/>
          <w:sz w:val="22"/>
        </w:rPr>
        <w:t>L</w:t>
      </w:r>
      <w:r w:rsidR="001A0C45" w:rsidRPr="00956C5F">
        <w:rPr>
          <w:iCs/>
          <w:sz w:val="22"/>
        </w:rPr>
        <w:t>).</w:t>
      </w:r>
    </w:p>
    <w:p w14:paraId="15135CB2" w14:textId="77777777" w:rsidR="006661ED" w:rsidRPr="00C92AFF" w:rsidRDefault="006D7F89" w:rsidP="00C92AFF">
      <w:pPr>
        <w:pStyle w:val="Heading3"/>
        <w:spacing w:before="0" w:line="360" w:lineRule="auto"/>
        <w:jc w:val="both"/>
        <w:rPr>
          <w:rFonts w:ascii="Times New Roman" w:hAnsi="Times New Roman"/>
          <w:i/>
          <w:iCs/>
          <w:color w:val="auto"/>
          <w:sz w:val="22"/>
          <w:szCs w:val="22"/>
        </w:rPr>
      </w:pPr>
      <w:bookmarkStart w:id="30" w:name="_Toc502677839"/>
      <w:r w:rsidRPr="00C92AFF">
        <w:rPr>
          <w:rFonts w:ascii="Times New Roman" w:hAnsi="Times New Roman"/>
          <w:i/>
          <w:iCs/>
          <w:color w:val="auto"/>
          <w:sz w:val="22"/>
          <w:szCs w:val="22"/>
          <w:lang w:val="en-US"/>
        </w:rPr>
        <w:t>3</w:t>
      </w:r>
      <w:r w:rsidR="006661ED" w:rsidRPr="00C92AFF">
        <w:rPr>
          <w:rFonts w:ascii="Times New Roman" w:hAnsi="Times New Roman"/>
          <w:i/>
          <w:iCs/>
          <w:color w:val="auto"/>
          <w:sz w:val="22"/>
          <w:szCs w:val="22"/>
        </w:rPr>
        <w:t>.</w:t>
      </w:r>
      <w:r w:rsidR="007B086B" w:rsidRPr="00C92AFF">
        <w:rPr>
          <w:rFonts w:ascii="Times New Roman" w:hAnsi="Times New Roman"/>
          <w:i/>
          <w:iCs/>
          <w:color w:val="auto"/>
          <w:sz w:val="22"/>
          <w:szCs w:val="22"/>
          <w:lang w:val="en-US"/>
        </w:rPr>
        <w:t>2</w:t>
      </w:r>
      <w:r w:rsidR="006661ED" w:rsidRPr="00C92AFF">
        <w:rPr>
          <w:rFonts w:ascii="Times New Roman" w:hAnsi="Times New Roman"/>
          <w:i/>
          <w:iCs/>
          <w:color w:val="auto"/>
          <w:sz w:val="22"/>
          <w:szCs w:val="22"/>
        </w:rPr>
        <w:t>.2</w:t>
      </w:r>
      <w:r w:rsidR="00432138" w:rsidRPr="00C92AFF">
        <w:rPr>
          <w:rFonts w:ascii="Times New Roman" w:hAnsi="Times New Roman"/>
          <w:i/>
          <w:iCs/>
          <w:color w:val="auto"/>
          <w:sz w:val="22"/>
          <w:szCs w:val="22"/>
          <w:lang w:val="en-US"/>
        </w:rPr>
        <w:t xml:space="preserve"> </w:t>
      </w:r>
      <w:r w:rsidR="006661ED" w:rsidRPr="00C92AFF">
        <w:rPr>
          <w:rFonts w:ascii="Times New Roman" w:hAnsi="Times New Roman"/>
          <w:i/>
          <w:iCs/>
          <w:color w:val="auto"/>
          <w:sz w:val="22"/>
          <w:szCs w:val="22"/>
        </w:rPr>
        <w:t>Effect of Adsorbent dose</w:t>
      </w:r>
      <w:bookmarkEnd w:id="30"/>
    </w:p>
    <w:p w14:paraId="22D7DFA0" w14:textId="77777777" w:rsidR="006661ED" w:rsidRPr="00956C5F" w:rsidRDefault="006661ED" w:rsidP="00956C5F">
      <w:pPr>
        <w:autoSpaceDE w:val="0"/>
        <w:autoSpaceDN w:val="0"/>
        <w:adjustRightInd w:val="0"/>
        <w:spacing w:after="0" w:line="360" w:lineRule="auto"/>
        <w:jc w:val="both"/>
        <w:rPr>
          <w:sz w:val="22"/>
        </w:rPr>
      </w:pPr>
      <w:r w:rsidRPr="00956C5F">
        <w:rPr>
          <w:sz w:val="22"/>
        </w:rPr>
        <w:t>The dependence of Cr adsorption on dose was studied by varying the amount of adsorbents (20, 30, 40&amp; 60 g/L), by keeping the other parameters (pH, contact time, temperature, initial chrome concentration) constant at optimum condition</w:t>
      </w:r>
      <w:r w:rsidR="00E65C50" w:rsidRPr="00956C5F">
        <w:rPr>
          <w:sz w:val="22"/>
        </w:rPr>
        <w:t xml:space="preserve"> </w:t>
      </w:r>
      <w:r w:rsidRPr="00956C5F">
        <w:rPr>
          <w:sz w:val="22"/>
        </w:rPr>
        <w:t>(</w:t>
      </w:r>
      <w:r w:rsidRPr="00956C5F">
        <w:rPr>
          <w:b/>
          <w:sz w:val="22"/>
        </w:rPr>
        <w:t>Fig</w:t>
      </w:r>
      <w:r w:rsidR="00E65C50" w:rsidRPr="00956C5F">
        <w:rPr>
          <w:b/>
          <w:sz w:val="22"/>
        </w:rPr>
        <w:t>ure 6</w:t>
      </w:r>
      <w:r w:rsidRPr="00956C5F">
        <w:rPr>
          <w:sz w:val="22"/>
        </w:rPr>
        <w:t>).</w:t>
      </w:r>
      <w:r w:rsidR="00E65C50" w:rsidRPr="00956C5F">
        <w:rPr>
          <w:sz w:val="22"/>
        </w:rPr>
        <w:t xml:space="preserve"> </w:t>
      </w:r>
      <w:r w:rsidRPr="00956C5F">
        <w:rPr>
          <w:sz w:val="22"/>
        </w:rPr>
        <w:t>It has been observed that removal efficiency of the adsorbent generally increased with increasing dose. This was expected due to the fact that the higher dose of adsorbents in the solution, the greater availability of exchangeable sites for the ions. The composite showed no further increase in adsorption after a certain amount of adsorbent was added (</w:t>
      </w:r>
      <w:r w:rsidR="006E4617" w:rsidRPr="00956C5F">
        <w:rPr>
          <w:sz w:val="22"/>
        </w:rPr>
        <w:t>40</w:t>
      </w:r>
      <w:r w:rsidRPr="00956C5F">
        <w:rPr>
          <w:sz w:val="22"/>
        </w:rPr>
        <w:t xml:space="preserve"> g/L). At 20</w:t>
      </w:r>
      <w:r w:rsidR="006E4617" w:rsidRPr="00956C5F">
        <w:rPr>
          <w:sz w:val="22"/>
        </w:rPr>
        <w:t xml:space="preserve"> </w:t>
      </w:r>
      <w:r w:rsidRPr="00956C5F">
        <w:rPr>
          <w:sz w:val="22"/>
        </w:rPr>
        <w:t xml:space="preserve">mg/L concentration of Cr, the maximum Cr removal efficiency was about 98.15% at the dosage of 40 g/L. The observation suggested that after a certain dose of adsorbent, the maximum adsorption </w:t>
      </w:r>
      <w:r w:rsidR="00254F10" w:rsidRPr="00956C5F">
        <w:rPr>
          <w:sz w:val="22"/>
        </w:rPr>
        <w:t>cites</w:t>
      </w:r>
      <w:r w:rsidRPr="00956C5F">
        <w:rPr>
          <w:sz w:val="22"/>
        </w:rPr>
        <w:t xml:space="preserve"> in and hence the amount of ions bound to the adsorbent and the amount of free ions remains constant even with further addition of the dose of adsorbent. </w:t>
      </w:r>
    </w:p>
    <w:p w14:paraId="4EAAB120" w14:textId="77777777" w:rsidR="0088749A" w:rsidRPr="00956C5F" w:rsidRDefault="0088749A" w:rsidP="00956C5F">
      <w:pPr>
        <w:autoSpaceDE w:val="0"/>
        <w:autoSpaceDN w:val="0"/>
        <w:adjustRightInd w:val="0"/>
        <w:spacing w:after="0" w:line="360" w:lineRule="auto"/>
        <w:jc w:val="both"/>
        <w:rPr>
          <w:sz w:val="22"/>
        </w:rPr>
      </w:pPr>
    </w:p>
    <w:p w14:paraId="0559F4B7" w14:textId="77777777" w:rsidR="003A7654" w:rsidRPr="00956C5F" w:rsidRDefault="003A7654" w:rsidP="00956C5F">
      <w:pPr>
        <w:autoSpaceDE w:val="0"/>
        <w:autoSpaceDN w:val="0"/>
        <w:adjustRightInd w:val="0"/>
        <w:spacing w:after="0" w:line="360" w:lineRule="auto"/>
        <w:jc w:val="both"/>
        <w:rPr>
          <w:sz w:val="22"/>
        </w:rPr>
      </w:pPr>
      <w:r w:rsidRPr="00956C5F">
        <w:rPr>
          <w:sz w:val="22"/>
        </w:rPr>
        <w:t>The effect of adsorbent dosage on chromium (VI) removal was investigated by varying the adsorbent amount (20, 30, 40, and 60 g/L) while maintaining other parameters such as pH, contact time, temperature, and initial chromium concentration</w:t>
      </w:r>
      <w:r w:rsidR="0088749A" w:rsidRPr="00956C5F">
        <w:rPr>
          <w:sz w:val="22"/>
        </w:rPr>
        <w:t xml:space="preserve"> </w:t>
      </w:r>
      <w:r w:rsidRPr="00956C5F">
        <w:rPr>
          <w:sz w:val="22"/>
        </w:rPr>
        <w:t>at their optimal conditions (</w:t>
      </w:r>
      <w:r w:rsidRPr="00956C5F">
        <w:rPr>
          <w:b/>
          <w:sz w:val="22"/>
        </w:rPr>
        <w:t>Fig</w:t>
      </w:r>
      <w:r w:rsidR="0088749A" w:rsidRPr="00956C5F">
        <w:rPr>
          <w:b/>
          <w:sz w:val="22"/>
        </w:rPr>
        <w:t xml:space="preserve">ure </w:t>
      </w:r>
      <w:r w:rsidR="00C00F2D" w:rsidRPr="00956C5F">
        <w:rPr>
          <w:b/>
          <w:sz w:val="22"/>
        </w:rPr>
        <w:t>6</w:t>
      </w:r>
      <w:r w:rsidRPr="00956C5F">
        <w:rPr>
          <w:sz w:val="22"/>
        </w:rPr>
        <w:t xml:space="preserve">). The results showed that the removal efficiency increased with rising adsorbent dosage, which is attributed to the greater availability of active sites for ion exchange at higher doses. However, beyond a certain level (40 g/L), no significant improvement in adsorption was observed. At an initial Cr concentration of 20 mg/L, the maximum removal efficiency reached approximately 98.15% at a dosage of 40 g/L. This indicates that </w:t>
      </w:r>
      <w:r w:rsidRPr="00956C5F">
        <w:rPr>
          <w:sz w:val="22"/>
        </w:rPr>
        <w:lastRenderedPageBreak/>
        <w:t>once the available adsorption sites are saturated, the number of bound ions and remaining free ions in the solution remain nearly constant, even with further increases in adsorbent dose.</w:t>
      </w:r>
    </w:p>
    <w:p w14:paraId="670DCD05" w14:textId="77777777" w:rsidR="00774C87" w:rsidRPr="00956C5F" w:rsidRDefault="00E65C50" w:rsidP="00956C5F">
      <w:pPr>
        <w:autoSpaceDE w:val="0"/>
        <w:autoSpaceDN w:val="0"/>
        <w:adjustRightInd w:val="0"/>
        <w:spacing w:after="0" w:line="360" w:lineRule="auto"/>
        <w:jc w:val="both"/>
        <w:rPr>
          <w:sz w:val="22"/>
        </w:rPr>
      </w:pPr>
      <w:r w:rsidRPr="00956C5F">
        <w:rPr>
          <w:noProof/>
          <w:sz w:val="22"/>
        </w:rPr>
        <w:drawing>
          <wp:anchor distT="6096" distB="4572" distL="120396" distR="118110" simplePos="0" relativeHeight="251648512" behindDoc="0" locked="0" layoutInCell="1" allowOverlap="1" wp14:anchorId="4F4A90B0" wp14:editId="7A9D96E3">
            <wp:simplePos x="0" y="0"/>
            <wp:positionH relativeFrom="column">
              <wp:posOffset>58420</wp:posOffset>
            </wp:positionH>
            <wp:positionV relativeFrom="paragraph">
              <wp:posOffset>177165</wp:posOffset>
            </wp:positionV>
            <wp:extent cx="4206240" cy="2286000"/>
            <wp:effectExtent l="0" t="0" r="22860" b="19050"/>
            <wp:wrapNone/>
            <wp:docPr id="40"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177F3008" w14:textId="77777777" w:rsidR="006661ED" w:rsidRPr="00956C5F" w:rsidRDefault="006661ED" w:rsidP="00956C5F">
      <w:pPr>
        <w:autoSpaceDE w:val="0"/>
        <w:autoSpaceDN w:val="0"/>
        <w:adjustRightInd w:val="0"/>
        <w:spacing w:after="0" w:line="360" w:lineRule="auto"/>
        <w:jc w:val="center"/>
        <w:rPr>
          <w:sz w:val="22"/>
        </w:rPr>
      </w:pPr>
      <w:r w:rsidRPr="00956C5F">
        <w:rPr>
          <w:sz w:val="22"/>
        </w:rPr>
        <w:t xml:space="preserve">                           </w:t>
      </w:r>
    </w:p>
    <w:p w14:paraId="05625603" w14:textId="77777777" w:rsidR="006661ED" w:rsidRPr="00956C5F" w:rsidRDefault="006661ED" w:rsidP="00956C5F">
      <w:pPr>
        <w:autoSpaceDE w:val="0"/>
        <w:autoSpaceDN w:val="0"/>
        <w:adjustRightInd w:val="0"/>
        <w:spacing w:after="0" w:line="360" w:lineRule="auto"/>
        <w:jc w:val="both"/>
        <w:rPr>
          <w:sz w:val="22"/>
        </w:rPr>
      </w:pPr>
    </w:p>
    <w:p w14:paraId="288A5FEC" w14:textId="77777777" w:rsidR="006661ED" w:rsidRPr="00956C5F" w:rsidRDefault="006661ED" w:rsidP="00956C5F">
      <w:pPr>
        <w:autoSpaceDE w:val="0"/>
        <w:autoSpaceDN w:val="0"/>
        <w:adjustRightInd w:val="0"/>
        <w:spacing w:after="0" w:line="360" w:lineRule="auto"/>
        <w:jc w:val="both"/>
        <w:rPr>
          <w:sz w:val="22"/>
        </w:rPr>
      </w:pPr>
      <w:r w:rsidRPr="00956C5F">
        <w:rPr>
          <w:sz w:val="22"/>
        </w:rPr>
        <w:t xml:space="preserve">                   </w:t>
      </w:r>
    </w:p>
    <w:p w14:paraId="5F8EA85D" w14:textId="77777777" w:rsidR="006661ED" w:rsidRPr="00956C5F" w:rsidRDefault="006661ED" w:rsidP="00956C5F">
      <w:pPr>
        <w:autoSpaceDE w:val="0"/>
        <w:autoSpaceDN w:val="0"/>
        <w:adjustRightInd w:val="0"/>
        <w:spacing w:after="0" w:line="360" w:lineRule="auto"/>
        <w:jc w:val="both"/>
        <w:rPr>
          <w:sz w:val="22"/>
        </w:rPr>
      </w:pPr>
    </w:p>
    <w:p w14:paraId="7EDDEA7F" w14:textId="77777777" w:rsidR="006661ED" w:rsidRPr="00956C5F" w:rsidRDefault="006661ED" w:rsidP="00956C5F">
      <w:pPr>
        <w:autoSpaceDE w:val="0"/>
        <w:autoSpaceDN w:val="0"/>
        <w:adjustRightInd w:val="0"/>
        <w:spacing w:after="0" w:line="360" w:lineRule="auto"/>
        <w:jc w:val="both"/>
        <w:rPr>
          <w:sz w:val="22"/>
        </w:rPr>
      </w:pPr>
    </w:p>
    <w:p w14:paraId="227A0DDD" w14:textId="77777777" w:rsidR="006661ED" w:rsidRPr="00956C5F" w:rsidRDefault="006661ED" w:rsidP="00956C5F">
      <w:pPr>
        <w:autoSpaceDE w:val="0"/>
        <w:autoSpaceDN w:val="0"/>
        <w:adjustRightInd w:val="0"/>
        <w:spacing w:after="0" w:line="360" w:lineRule="auto"/>
        <w:jc w:val="both"/>
        <w:rPr>
          <w:sz w:val="22"/>
        </w:rPr>
      </w:pPr>
    </w:p>
    <w:p w14:paraId="3F729759" w14:textId="77777777" w:rsidR="006661ED" w:rsidRPr="00956C5F" w:rsidRDefault="006661ED" w:rsidP="00956C5F">
      <w:pPr>
        <w:autoSpaceDE w:val="0"/>
        <w:autoSpaceDN w:val="0"/>
        <w:adjustRightInd w:val="0"/>
        <w:spacing w:after="0" w:line="360" w:lineRule="auto"/>
        <w:jc w:val="both"/>
        <w:rPr>
          <w:sz w:val="22"/>
        </w:rPr>
      </w:pPr>
    </w:p>
    <w:p w14:paraId="2A2516C9" w14:textId="77777777" w:rsidR="006661ED" w:rsidRPr="00956C5F" w:rsidRDefault="006661ED" w:rsidP="00956C5F">
      <w:pPr>
        <w:autoSpaceDE w:val="0"/>
        <w:autoSpaceDN w:val="0"/>
        <w:adjustRightInd w:val="0"/>
        <w:spacing w:after="0" w:line="360" w:lineRule="auto"/>
        <w:jc w:val="both"/>
        <w:rPr>
          <w:sz w:val="22"/>
        </w:rPr>
      </w:pPr>
    </w:p>
    <w:p w14:paraId="6BE7F49C" w14:textId="77777777" w:rsidR="006661ED" w:rsidRPr="00956C5F" w:rsidRDefault="006661ED" w:rsidP="00956C5F">
      <w:pPr>
        <w:autoSpaceDE w:val="0"/>
        <w:autoSpaceDN w:val="0"/>
        <w:adjustRightInd w:val="0"/>
        <w:spacing w:after="0" w:line="360" w:lineRule="auto"/>
        <w:jc w:val="both"/>
        <w:rPr>
          <w:sz w:val="22"/>
        </w:rPr>
      </w:pPr>
    </w:p>
    <w:p w14:paraId="3C9FEB79" w14:textId="77777777" w:rsidR="006661ED" w:rsidRPr="00956C5F" w:rsidRDefault="006661ED" w:rsidP="00956C5F">
      <w:pPr>
        <w:autoSpaceDE w:val="0"/>
        <w:autoSpaceDN w:val="0"/>
        <w:adjustRightInd w:val="0"/>
        <w:spacing w:after="0" w:line="360" w:lineRule="auto"/>
        <w:jc w:val="both"/>
        <w:rPr>
          <w:sz w:val="22"/>
        </w:rPr>
      </w:pPr>
    </w:p>
    <w:p w14:paraId="274F0DC3" w14:textId="77777777" w:rsidR="006661ED" w:rsidRPr="00956C5F" w:rsidRDefault="006661ED" w:rsidP="00956C5F">
      <w:pPr>
        <w:autoSpaceDE w:val="0"/>
        <w:autoSpaceDN w:val="0"/>
        <w:adjustRightInd w:val="0"/>
        <w:spacing w:after="0" w:line="360" w:lineRule="auto"/>
        <w:rPr>
          <w:sz w:val="22"/>
        </w:rPr>
      </w:pPr>
      <w:r w:rsidRPr="00956C5F">
        <w:rPr>
          <w:b/>
          <w:bCs/>
          <w:iCs/>
          <w:sz w:val="22"/>
        </w:rPr>
        <w:t>Fig</w:t>
      </w:r>
      <w:r w:rsidR="002C23D7" w:rsidRPr="00956C5F">
        <w:rPr>
          <w:b/>
          <w:bCs/>
          <w:iCs/>
          <w:sz w:val="22"/>
        </w:rPr>
        <w:t>ure</w:t>
      </w:r>
      <w:r w:rsidRPr="00956C5F">
        <w:rPr>
          <w:b/>
          <w:bCs/>
          <w:iCs/>
          <w:sz w:val="22"/>
        </w:rPr>
        <w:t xml:space="preserve"> </w:t>
      </w:r>
      <w:r w:rsidR="005B12D0" w:rsidRPr="00956C5F">
        <w:rPr>
          <w:b/>
          <w:bCs/>
          <w:iCs/>
          <w:sz w:val="22"/>
        </w:rPr>
        <w:t>6</w:t>
      </w:r>
      <w:r w:rsidR="002C23D7" w:rsidRPr="00956C5F">
        <w:rPr>
          <w:b/>
          <w:bCs/>
          <w:iCs/>
          <w:sz w:val="22"/>
        </w:rPr>
        <w:t xml:space="preserve">. </w:t>
      </w:r>
      <w:r w:rsidRPr="00956C5F">
        <w:rPr>
          <w:b/>
          <w:bCs/>
          <w:iCs/>
          <w:sz w:val="22"/>
        </w:rPr>
        <w:t xml:space="preserve"> </w:t>
      </w:r>
      <w:r w:rsidRPr="00956C5F">
        <w:rPr>
          <w:iCs/>
          <w:sz w:val="22"/>
        </w:rPr>
        <w:t xml:space="preserve">Effect of </w:t>
      </w:r>
      <w:r w:rsidR="001A0C45" w:rsidRPr="00956C5F">
        <w:rPr>
          <w:iCs/>
          <w:sz w:val="22"/>
        </w:rPr>
        <w:t xml:space="preserve">adsorbent </w:t>
      </w:r>
      <w:r w:rsidRPr="00956C5F">
        <w:rPr>
          <w:iCs/>
          <w:sz w:val="22"/>
        </w:rPr>
        <w:t xml:space="preserve">dose on </w:t>
      </w:r>
      <w:r w:rsidR="001A0C45" w:rsidRPr="00956C5F">
        <w:rPr>
          <w:iCs/>
          <w:sz w:val="22"/>
        </w:rPr>
        <w:t xml:space="preserve">Cr (VI) </w:t>
      </w:r>
      <w:r w:rsidRPr="00956C5F">
        <w:rPr>
          <w:iCs/>
          <w:sz w:val="22"/>
        </w:rPr>
        <w:t xml:space="preserve">removal </w:t>
      </w:r>
      <w:r w:rsidR="001A0C45" w:rsidRPr="00956C5F">
        <w:rPr>
          <w:iCs/>
          <w:sz w:val="22"/>
        </w:rPr>
        <w:t>(</w:t>
      </w:r>
      <w:proofErr w:type="spellStart"/>
      <w:r w:rsidR="001A0C45" w:rsidRPr="00956C5F">
        <w:rPr>
          <w:iCs/>
          <w:sz w:val="22"/>
        </w:rPr>
        <w:t>Temprature</w:t>
      </w:r>
      <w:proofErr w:type="spellEnd"/>
      <w:r w:rsidRPr="00956C5F">
        <w:rPr>
          <w:iCs/>
          <w:sz w:val="22"/>
        </w:rPr>
        <w:t xml:space="preserve"> =55</w:t>
      </w:r>
      <w:r w:rsidR="003A7654" w:rsidRPr="00956C5F">
        <w:rPr>
          <w:iCs/>
          <w:sz w:val="22"/>
        </w:rPr>
        <w:t xml:space="preserve"> </w:t>
      </w:r>
      <w:proofErr w:type="spellStart"/>
      <w:r w:rsidR="003A7654" w:rsidRPr="00956C5F">
        <w:rPr>
          <w:iCs/>
          <w:sz w:val="22"/>
          <w:vertAlign w:val="superscript"/>
        </w:rPr>
        <w:t>o</w:t>
      </w:r>
      <w:r w:rsidR="003A7654" w:rsidRPr="00956C5F">
        <w:rPr>
          <w:iCs/>
          <w:sz w:val="22"/>
        </w:rPr>
        <w:t>c</w:t>
      </w:r>
      <w:proofErr w:type="spellEnd"/>
      <w:r w:rsidR="001A0C45" w:rsidRPr="00956C5F">
        <w:rPr>
          <w:iCs/>
          <w:sz w:val="22"/>
        </w:rPr>
        <w:t>, pH = 6</w:t>
      </w:r>
      <w:proofErr w:type="gramStart"/>
      <w:r w:rsidR="001A0C45" w:rsidRPr="00956C5F">
        <w:rPr>
          <w:iCs/>
          <w:sz w:val="22"/>
        </w:rPr>
        <w:t>,  contact</w:t>
      </w:r>
      <w:proofErr w:type="gramEnd"/>
      <w:r w:rsidR="001A0C45" w:rsidRPr="00956C5F">
        <w:rPr>
          <w:iCs/>
          <w:sz w:val="22"/>
        </w:rPr>
        <w:t xml:space="preserve"> time</w:t>
      </w:r>
      <w:r w:rsidRPr="00956C5F">
        <w:rPr>
          <w:iCs/>
          <w:sz w:val="22"/>
        </w:rPr>
        <w:t xml:space="preserve"> =12</w:t>
      </w:r>
      <w:r w:rsidR="003A7654" w:rsidRPr="00956C5F">
        <w:rPr>
          <w:iCs/>
          <w:sz w:val="22"/>
        </w:rPr>
        <w:t xml:space="preserve"> </w:t>
      </w:r>
      <w:proofErr w:type="spellStart"/>
      <w:r w:rsidRPr="00956C5F">
        <w:rPr>
          <w:iCs/>
          <w:sz w:val="22"/>
        </w:rPr>
        <w:t>hrs</w:t>
      </w:r>
      <w:proofErr w:type="spellEnd"/>
      <w:r w:rsidRPr="00956C5F">
        <w:rPr>
          <w:iCs/>
          <w:sz w:val="22"/>
        </w:rPr>
        <w:t xml:space="preserve">, and </w:t>
      </w:r>
      <w:r w:rsidR="001A0C45" w:rsidRPr="00956C5F">
        <w:rPr>
          <w:iCs/>
          <w:sz w:val="22"/>
        </w:rPr>
        <w:t>initial conc.</w:t>
      </w:r>
      <w:r w:rsidRPr="00956C5F">
        <w:rPr>
          <w:iCs/>
          <w:sz w:val="22"/>
        </w:rPr>
        <w:t xml:space="preserve"> = 20 mg/</w:t>
      </w:r>
      <w:r w:rsidR="003D26BA" w:rsidRPr="00956C5F">
        <w:rPr>
          <w:iCs/>
          <w:sz w:val="22"/>
        </w:rPr>
        <w:t>L</w:t>
      </w:r>
      <w:r w:rsidR="001A0C45" w:rsidRPr="00956C5F">
        <w:rPr>
          <w:iCs/>
          <w:sz w:val="22"/>
        </w:rPr>
        <w:t>)</w:t>
      </w:r>
    </w:p>
    <w:p w14:paraId="1ECFB6DA" w14:textId="77777777" w:rsidR="00774C87" w:rsidRPr="00956C5F" w:rsidRDefault="00774C87" w:rsidP="00956C5F">
      <w:pPr>
        <w:pStyle w:val="Heading3"/>
        <w:spacing w:line="360" w:lineRule="auto"/>
        <w:rPr>
          <w:rFonts w:ascii="Times New Roman" w:hAnsi="Times New Roman"/>
          <w:color w:val="auto"/>
          <w:sz w:val="22"/>
          <w:szCs w:val="22"/>
          <w:lang w:val="en-US"/>
        </w:rPr>
      </w:pPr>
      <w:bookmarkStart w:id="31" w:name="_Toc502677840"/>
    </w:p>
    <w:p w14:paraId="21A687D6" w14:textId="77777777" w:rsidR="006661ED" w:rsidRPr="00C92AFF" w:rsidRDefault="006D7F89" w:rsidP="00956C5F">
      <w:pPr>
        <w:pStyle w:val="Heading3"/>
        <w:spacing w:before="0" w:line="360" w:lineRule="auto"/>
        <w:rPr>
          <w:rFonts w:ascii="Times New Roman" w:hAnsi="Times New Roman"/>
          <w:i/>
          <w:iCs/>
          <w:color w:val="auto"/>
          <w:sz w:val="22"/>
          <w:szCs w:val="22"/>
        </w:rPr>
      </w:pPr>
      <w:r w:rsidRPr="00C92AFF">
        <w:rPr>
          <w:rFonts w:ascii="Times New Roman" w:hAnsi="Times New Roman"/>
          <w:i/>
          <w:iCs/>
          <w:color w:val="auto"/>
          <w:sz w:val="22"/>
          <w:szCs w:val="22"/>
          <w:lang w:val="en-US"/>
        </w:rPr>
        <w:t>3</w:t>
      </w:r>
      <w:r w:rsidR="006661ED" w:rsidRPr="00C92AFF">
        <w:rPr>
          <w:rFonts w:ascii="Times New Roman" w:hAnsi="Times New Roman"/>
          <w:i/>
          <w:iCs/>
          <w:color w:val="auto"/>
          <w:sz w:val="22"/>
          <w:szCs w:val="22"/>
        </w:rPr>
        <w:t>.</w:t>
      </w:r>
      <w:r w:rsidR="007B086B" w:rsidRPr="00C92AFF">
        <w:rPr>
          <w:rFonts w:ascii="Times New Roman" w:hAnsi="Times New Roman"/>
          <w:i/>
          <w:iCs/>
          <w:color w:val="auto"/>
          <w:sz w:val="22"/>
          <w:szCs w:val="22"/>
          <w:lang w:val="en-US"/>
        </w:rPr>
        <w:t>2</w:t>
      </w:r>
      <w:r w:rsidR="006661ED" w:rsidRPr="00C92AFF">
        <w:rPr>
          <w:rFonts w:ascii="Times New Roman" w:hAnsi="Times New Roman"/>
          <w:i/>
          <w:iCs/>
          <w:color w:val="auto"/>
          <w:sz w:val="22"/>
          <w:szCs w:val="22"/>
        </w:rPr>
        <w:t>.3 Effect of Particle size</w:t>
      </w:r>
      <w:bookmarkEnd w:id="31"/>
    </w:p>
    <w:p w14:paraId="0CB5F0E4" w14:textId="77777777" w:rsidR="006661ED" w:rsidRPr="00956C5F" w:rsidRDefault="006661ED" w:rsidP="00956C5F">
      <w:pPr>
        <w:autoSpaceDE w:val="0"/>
        <w:autoSpaceDN w:val="0"/>
        <w:adjustRightInd w:val="0"/>
        <w:spacing w:after="0" w:line="360" w:lineRule="auto"/>
        <w:jc w:val="both"/>
        <w:rPr>
          <w:sz w:val="22"/>
        </w:rPr>
      </w:pPr>
      <w:r w:rsidRPr="00956C5F">
        <w:rPr>
          <w:sz w:val="22"/>
        </w:rPr>
        <w:t xml:space="preserve">It was observed from </w:t>
      </w:r>
      <w:r w:rsidRPr="00956C5F">
        <w:rPr>
          <w:b/>
          <w:sz w:val="22"/>
        </w:rPr>
        <w:t>Fig</w:t>
      </w:r>
      <w:r w:rsidR="00E65C50" w:rsidRPr="00956C5F">
        <w:rPr>
          <w:b/>
          <w:sz w:val="22"/>
        </w:rPr>
        <w:t xml:space="preserve">ure </w:t>
      </w:r>
      <w:r w:rsidR="003A7654" w:rsidRPr="00956C5F">
        <w:rPr>
          <w:b/>
          <w:sz w:val="22"/>
        </w:rPr>
        <w:t>7</w:t>
      </w:r>
      <w:r w:rsidRPr="00956C5F">
        <w:rPr>
          <w:sz w:val="22"/>
        </w:rPr>
        <w:t>, the experimental results of adsorption at 20 mg/lit concentration that percent adsorption decreases with increases in adsorbent particle size.</w:t>
      </w:r>
      <w:r w:rsidR="009C3CCA" w:rsidRPr="00956C5F">
        <w:rPr>
          <w:sz w:val="22"/>
        </w:rPr>
        <w:t xml:space="preserve"> </w:t>
      </w:r>
      <w:r w:rsidRPr="00956C5F">
        <w:rPr>
          <w:sz w:val="22"/>
          <w:shd w:val="clear" w:color="auto" w:fill="FCFCFA"/>
        </w:rPr>
        <w:t>The rate of chemical reactions that involve solids depends on the particle size of the solid. A finely powdered solid has a larger surface area than an equal mass of a coarsely powdered solid. A larger surface area is a much easier target for colliding molecules which increase the mass transfer. The bigger the target, the easier it is to hit. Fine powders therefore react faster than coarse powders, if all other factors are the same</w:t>
      </w:r>
      <w:r w:rsidRPr="00956C5F">
        <w:rPr>
          <w:sz w:val="22"/>
          <w:shd w:val="clear" w:color="auto" w:fill="FCFCFA"/>
        </w:rPr>
        <w:fldChar w:fldCharType="begin"/>
      </w:r>
      <w:r w:rsidRPr="00956C5F">
        <w:rPr>
          <w:sz w:val="22"/>
          <w:shd w:val="clear" w:color="auto" w:fill="FCFCFA"/>
        </w:rPr>
        <w:instrText xml:space="preserve"> ADDIN EN.CITE &lt;EndNote&gt;&lt;Cite&gt;&lt;Author&gt;Kaczmarski&lt;/Author&gt;&lt;Year&gt;2003&lt;/Year&gt;&lt;RecNum&gt;108&lt;/RecNum&gt;&lt;DisplayText&gt;(Kaczmarski &amp;amp; Bellot, 2003)&lt;/DisplayText&gt;&lt;record&gt;&lt;rec-number&gt;108&lt;/rec-number&gt;&lt;foreign-keys&gt;&lt;key app="EN" db-id="502dfepz89ep2ues9pfptderdf5005vpr250" timestamp="1514898736"&gt;108&lt;/key&gt;&lt;/foreign-keys&gt;&lt;ref-type name="Journal Article"&gt;17&lt;/ref-type&gt;&lt;contributors&gt;&lt;authors&gt;&lt;author&gt;Kaczmarski, K&lt;/author&gt;&lt;author&gt;Bellot, J Ch&lt;/author&gt;&lt;/authors&gt;&lt;/contributors&gt;&lt;titles&gt;&lt;title&gt;Effect of particle-size distribution and particle porosity changes on mass-transfer kinetics&lt;/title&gt;&lt;secondary-title&gt;Acta Chromatographica&lt;/secondary-title&gt;&lt;/titles&gt;&lt;periodical&gt;&lt;full-title&gt;Acta Chromatographica&lt;/full-title&gt;&lt;/periodical&gt;&lt;pages&gt;22-37&lt;/pages&gt;&lt;dates&gt;&lt;year&gt;2003&lt;/year&gt;&lt;/dates&gt;&lt;isbn&gt;1233-2356&lt;/isbn&gt;&lt;urls&gt;&lt;/urls&gt;&lt;/record&gt;&lt;/Cite&gt;&lt;/EndNote&gt;</w:instrText>
      </w:r>
      <w:r w:rsidRPr="00956C5F">
        <w:rPr>
          <w:sz w:val="22"/>
          <w:shd w:val="clear" w:color="auto" w:fill="FCFCFA"/>
        </w:rPr>
        <w:fldChar w:fldCharType="separate"/>
      </w:r>
      <w:r w:rsidRPr="00956C5F">
        <w:rPr>
          <w:noProof/>
          <w:sz w:val="22"/>
          <w:shd w:val="clear" w:color="auto" w:fill="FCFCFA"/>
        </w:rPr>
        <w:t>(Kaczmarski &amp; Bellot, 2003)</w:t>
      </w:r>
      <w:r w:rsidRPr="00956C5F">
        <w:rPr>
          <w:sz w:val="22"/>
          <w:shd w:val="clear" w:color="auto" w:fill="FCFCFA"/>
        </w:rPr>
        <w:fldChar w:fldCharType="end"/>
      </w:r>
      <w:r w:rsidRPr="00956C5F">
        <w:rPr>
          <w:sz w:val="22"/>
          <w:shd w:val="clear" w:color="auto" w:fill="FCFCFA"/>
        </w:rPr>
        <w:t>.</w:t>
      </w:r>
    </w:p>
    <w:p w14:paraId="3AE70DA1" w14:textId="77777777" w:rsidR="006661ED" w:rsidRPr="00956C5F" w:rsidRDefault="006661ED" w:rsidP="00956C5F">
      <w:pPr>
        <w:autoSpaceDE w:val="0"/>
        <w:autoSpaceDN w:val="0"/>
        <w:adjustRightInd w:val="0"/>
        <w:spacing w:after="0" w:line="360" w:lineRule="auto"/>
        <w:jc w:val="both"/>
        <w:rPr>
          <w:sz w:val="22"/>
        </w:rPr>
      </w:pPr>
    </w:p>
    <w:p w14:paraId="4D02B92C" w14:textId="77777777" w:rsidR="006661ED" w:rsidRPr="00956C5F" w:rsidRDefault="006661ED" w:rsidP="00956C5F">
      <w:pPr>
        <w:autoSpaceDE w:val="0"/>
        <w:autoSpaceDN w:val="0"/>
        <w:adjustRightInd w:val="0"/>
        <w:spacing w:after="0" w:line="360" w:lineRule="auto"/>
        <w:jc w:val="both"/>
        <w:rPr>
          <w:sz w:val="22"/>
        </w:rPr>
      </w:pPr>
      <w:r w:rsidRPr="00956C5F">
        <w:rPr>
          <w:sz w:val="22"/>
        </w:rPr>
        <w:lastRenderedPageBreak/>
        <w:t xml:space="preserve">  </w:t>
      </w:r>
      <w:r w:rsidRPr="00956C5F">
        <w:rPr>
          <w:noProof/>
          <w:sz w:val="22"/>
        </w:rPr>
        <w:drawing>
          <wp:inline distT="0" distB="0" distL="0" distR="0" wp14:anchorId="0AB27256" wp14:editId="7AD9080F">
            <wp:extent cx="4114800" cy="2299335"/>
            <wp:effectExtent l="0" t="0" r="0" b="5715"/>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86A519" w14:textId="77777777" w:rsidR="006661ED" w:rsidRPr="00956C5F" w:rsidRDefault="006661ED" w:rsidP="00956C5F">
      <w:pPr>
        <w:autoSpaceDE w:val="0"/>
        <w:autoSpaceDN w:val="0"/>
        <w:adjustRightInd w:val="0"/>
        <w:spacing w:before="240" w:after="0" w:line="360" w:lineRule="auto"/>
        <w:jc w:val="both"/>
        <w:rPr>
          <w:sz w:val="22"/>
        </w:rPr>
      </w:pPr>
      <w:r w:rsidRPr="00956C5F">
        <w:rPr>
          <w:sz w:val="22"/>
        </w:rPr>
        <w:t xml:space="preserve"> </w:t>
      </w:r>
      <w:r w:rsidR="002C23D7" w:rsidRPr="00956C5F">
        <w:rPr>
          <w:b/>
          <w:bCs/>
          <w:sz w:val="22"/>
        </w:rPr>
        <w:t xml:space="preserve">Figure </w:t>
      </w:r>
      <w:r w:rsidR="005B12D0" w:rsidRPr="00956C5F">
        <w:rPr>
          <w:b/>
          <w:bCs/>
          <w:sz w:val="22"/>
        </w:rPr>
        <w:t>7</w:t>
      </w:r>
      <w:r w:rsidR="002C23D7" w:rsidRPr="00956C5F">
        <w:rPr>
          <w:bCs/>
          <w:sz w:val="22"/>
        </w:rPr>
        <w:t xml:space="preserve">.  </w:t>
      </w:r>
      <w:r w:rsidRPr="00956C5F">
        <w:rPr>
          <w:bCs/>
          <w:sz w:val="22"/>
        </w:rPr>
        <w:t xml:space="preserve">Effect of particle </w:t>
      </w:r>
      <w:proofErr w:type="gramStart"/>
      <w:r w:rsidRPr="00956C5F">
        <w:rPr>
          <w:bCs/>
          <w:sz w:val="22"/>
        </w:rPr>
        <w:t>size</w:t>
      </w:r>
      <w:r w:rsidR="00932F7B" w:rsidRPr="00956C5F">
        <w:rPr>
          <w:bCs/>
          <w:sz w:val="22"/>
        </w:rPr>
        <w:t xml:space="preserve">  on</w:t>
      </w:r>
      <w:proofErr w:type="gramEnd"/>
      <w:r w:rsidR="00932F7B" w:rsidRPr="00956C5F">
        <w:rPr>
          <w:bCs/>
          <w:sz w:val="22"/>
        </w:rPr>
        <w:t xml:space="preserve"> Cr (VI) adsorption (</w:t>
      </w:r>
      <w:r w:rsidRPr="00956C5F">
        <w:rPr>
          <w:bCs/>
          <w:sz w:val="22"/>
        </w:rPr>
        <w:t xml:space="preserve"> </w:t>
      </w:r>
      <w:proofErr w:type="spellStart"/>
      <w:r w:rsidR="001A0C45" w:rsidRPr="00956C5F">
        <w:rPr>
          <w:iCs/>
          <w:sz w:val="22"/>
        </w:rPr>
        <w:t>Temprature</w:t>
      </w:r>
      <w:proofErr w:type="spellEnd"/>
      <w:r w:rsidR="001A0C45" w:rsidRPr="00956C5F">
        <w:rPr>
          <w:iCs/>
          <w:sz w:val="22"/>
        </w:rPr>
        <w:t xml:space="preserve"> </w:t>
      </w:r>
      <w:r w:rsidRPr="00956C5F">
        <w:rPr>
          <w:iCs/>
          <w:sz w:val="22"/>
        </w:rPr>
        <w:t>=55</w:t>
      </w:r>
      <w:r w:rsidRPr="00956C5F">
        <w:rPr>
          <w:iCs/>
          <w:sz w:val="22"/>
          <w:vertAlign w:val="superscript"/>
        </w:rPr>
        <w:t>0</w:t>
      </w:r>
      <w:r w:rsidR="001A0C45" w:rsidRPr="00956C5F">
        <w:rPr>
          <w:iCs/>
          <w:sz w:val="22"/>
        </w:rPr>
        <w:t xml:space="preserve">c, pH = 6, contact time =12hrs, initial </w:t>
      </w:r>
      <w:proofErr w:type="spellStart"/>
      <w:r w:rsidR="001A0C45" w:rsidRPr="00956C5F">
        <w:rPr>
          <w:iCs/>
          <w:sz w:val="22"/>
        </w:rPr>
        <w:t>conc.</w:t>
      </w:r>
      <w:r w:rsidRPr="00956C5F">
        <w:rPr>
          <w:iCs/>
          <w:sz w:val="22"/>
        </w:rPr>
        <w:t>C</w:t>
      </w:r>
      <w:proofErr w:type="spellEnd"/>
      <w:r w:rsidRPr="00956C5F">
        <w:rPr>
          <w:iCs/>
          <w:sz w:val="22"/>
        </w:rPr>
        <w:t xml:space="preserve"> = 20 mg/</w:t>
      </w:r>
      <w:r w:rsidR="00E85562" w:rsidRPr="00956C5F">
        <w:rPr>
          <w:iCs/>
          <w:sz w:val="22"/>
        </w:rPr>
        <w:t>L</w:t>
      </w:r>
      <w:r w:rsidR="003A7654" w:rsidRPr="00956C5F">
        <w:rPr>
          <w:iCs/>
          <w:sz w:val="22"/>
        </w:rPr>
        <w:t>, dose= 40 g/L</w:t>
      </w:r>
      <w:r w:rsidR="00932F7B" w:rsidRPr="00956C5F">
        <w:rPr>
          <w:iCs/>
          <w:sz w:val="22"/>
        </w:rPr>
        <w:t>)</w:t>
      </w:r>
    </w:p>
    <w:p w14:paraId="5478A14C" w14:textId="77777777" w:rsidR="006661ED" w:rsidRPr="00C92AFF" w:rsidRDefault="006D7F89" w:rsidP="00956C5F">
      <w:pPr>
        <w:pStyle w:val="Heading3"/>
        <w:spacing w:line="360" w:lineRule="auto"/>
        <w:jc w:val="both"/>
        <w:rPr>
          <w:rFonts w:ascii="Times New Roman" w:hAnsi="Times New Roman"/>
          <w:i/>
          <w:iCs/>
          <w:color w:val="auto"/>
          <w:sz w:val="22"/>
          <w:szCs w:val="22"/>
        </w:rPr>
      </w:pPr>
      <w:bookmarkStart w:id="32" w:name="_Toc502677841"/>
      <w:r w:rsidRPr="00C92AFF">
        <w:rPr>
          <w:rFonts w:ascii="Times New Roman" w:hAnsi="Times New Roman"/>
          <w:i/>
          <w:iCs/>
          <w:color w:val="auto"/>
          <w:sz w:val="22"/>
          <w:szCs w:val="22"/>
          <w:lang w:val="en-US"/>
        </w:rPr>
        <w:t>3</w:t>
      </w:r>
      <w:r w:rsidR="006661ED" w:rsidRPr="00C92AFF">
        <w:rPr>
          <w:rFonts w:ascii="Times New Roman" w:hAnsi="Times New Roman"/>
          <w:i/>
          <w:iCs/>
          <w:color w:val="auto"/>
          <w:sz w:val="22"/>
          <w:szCs w:val="22"/>
        </w:rPr>
        <w:t>.</w:t>
      </w:r>
      <w:r w:rsidR="007B086B" w:rsidRPr="00C92AFF">
        <w:rPr>
          <w:rFonts w:ascii="Times New Roman" w:hAnsi="Times New Roman"/>
          <w:i/>
          <w:iCs/>
          <w:color w:val="auto"/>
          <w:sz w:val="22"/>
          <w:szCs w:val="22"/>
          <w:lang w:val="en-US"/>
        </w:rPr>
        <w:t>2</w:t>
      </w:r>
      <w:r w:rsidR="006661ED" w:rsidRPr="00C92AFF">
        <w:rPr>
          <w:rFonts w:ascii="Times New Roman" w:hAnsi="Times New Roman"/>
          <w:i/>
          <w:iCs/>
          <w:color w:val="auto"/>
          <w:sz w:val="22"/>
          <w:szCs w:val="22"/>
        </w:rPr>
        <w:t>.</w:t>
      </w:r>
      <w:r w:rsidRPr="00C92AFF">
        <w:rPr>
          <w:rFonts w:ascii="Times New Roman" w:hAnsi="Times New Roman"/>
          <w:i/>
          <w:iCs/>
          <w:color w:val="auto"/>
          <w:sz w:val="22"/>
          <w:szCs w:val="22"/>
          <w:lang w:val="en-US"/>
        </w:rPr>
        <w:t>4</w:t>
      </w:r>
      <w:r w:rsidR="006661ED" w:rsidRPr="00C92AFF">
        <w:rPr>
          <w:rFonts w:ascii="Times New Roman" w:hAnsi="Times New Roman"/>
          <w:i/>
          <w:iCs/>
          <w:color w:val="auto"/>
          <w:sz w:val="22"/>
          <w:szCs w:val="22"/>
        </w:rPr>
        <w:t xml:space="preserve"> Effects of initial chromium concentration</w:t>
      </w:r>
      <w:bookmarkEnd w:id="32"/>
      <w:r w:rsidR="006661ED" w:rsidRPr="00C92AFF">
        <w:rPr>
          <w:rFonts w:ascii="Times New Roman" w:hAnsi="Times New Roman"/>
          <w:i/>
          <w:iCs/>
          <w:color w:val="auto"/>
          <w:sz w:val="22"/>
          <w:szCs w:val="22"/>
        </w:rPr>
        <w:t xml:space="preserve"> </w:t>
      </w:r>
    </w:p>
    <w:p w14:paraId="32D0CC22" w14:textId="77777777" w:rsidR="006661ED" w:rsidRPr="00956C5F" w:rsidRDefault="00667DC2" w:rsidP="00956C5F">
      <w:pPr>
        <w:autoSpaceDE w:val="0"/>
        <w:autoSpaceDN w:val="0"/>
        <w:adjustRightInd w:val="0"/>
        <w:spacing w:line="360" w:lineRule="auto"/>
        <w:jc w:val="both"/>
        <w:rPr>
          <w:sz w:val="22"/>
        </w:rPr>
      </w:pPr>
      <w:r w:rsidRPr="00956C5F">
        <w:rPr>
          <w:sz w:val="22"/>
        </w:rPr>
        <w:t>In this study, the adsorption of chromium (VI) onto powdered marble chips was investigated at different initial concentrations (20, 40, and 60 mg/L) to determine the optimal metal removal efficiency (</w:t>
      </w:r>
      <w:r w:rsidRPr="00956C5F">
        <w:rPr>
          <w:b/>
          <w:sz w:val="22"/>
        </w:rPr>
        <w:t>Figure 8</w:t>
      </w:r>
      <w:r w:rsidRPr="00956C5F">
        <w:rPr>
          <w:sz w:val="22"/>
        </w:rPr>
        <w:t xml:space="preserve">). The results showed that as the initial chromium (VI) concentration increased, the percentage removal decreased. This decline can be attributed to the limited number of active adsorption sites, which became saturated at higher metal concentrations. However, the adsorption capacity </w:t>
      </w:r>
      <w:r w:rsidR="00E443C1" w:rsidRPr="00956C5F">
        <w:rPr>
          <w:sz w:val="22"/>
        </w:rPr>
        <w:t>increased with rising initial Chromium (</w:t>
      </w:r>
      <w:r w:rsidRPr="00956C5F">
        <w:rPr>
          <w:sz w:val="22"/>
        </w:rPr>
        <w:t>VI) concentrations, likely due to enhanced collisions between chromium ions and the adsorbent surface (</w:t>
      </w:r>
      <w:proofErr w:type="spellStart"/>
      <w:r w:rsidRPr="00956C5F">
        <w:rPr>
          <w:sz w:val="22"/>
        </w:rPr>
        <w:t>Ghazy</w:t>
      </w:r>
      <w:proofErr w:type="spellEnd"/>
      <w:r w:rsidRPr="00956C5F">
        <w:rPr>
          <w:sz w:val="22"/>
        </w:rPr>
        <w:t xml:space="preserve"> &amp; Gad, 2014). The highest removal efficiency, approximately 98.15%, was achieved at an initial concentration of 20 mg/L</w:t>
      </w:r>
      <w:r w:rsidR="00E443C1" w:rsidRPr="00956C5F">
        <w:rPr>
          <w:sz w:val="22"/>
        </w:rPr>
        <w:t>.</w:t>
      </w:r>
    </w:p>
    <w:p w14:paraId="0F3400EE" w14:textId="77777777" w:rsidR="00DF4F51" w:rsidRPr="00956C5F" w:rsidRDefault="00E443C1" w:rsidP="00956C5F">
      <w:pPr>
        <w:autoSpaceDE w:val="0"/>
        <w:autoSpaceDN w:val="0"/>
        <w:adjustRightInd w:val="0"/>
        <w:spacing w:line="360" w:lineRule="auto"/>
        <w:rPr>
          <w:sz w:val="22"/>
        </w:rPr>
      </w:pPr>
      <w:r w:rsidRPr="00956C5F">
        <w:rPr>
          <w:noProof/>
          <w:sz w:val="22"/>
        </w:rPr>
        <w:drawing>
          <wp:anchor distT="0" distB="0" distL="114300" distR="114300" simplePos="0" relativeHeight="251645440" behindDoc="0" locked="0" layoutInCell="1" allowOverlap="1" wp14:anchorId="731717D7" wp14:editId="57FA7EA0">
            <wp:simplePos x="0" y="0"/>
            <wp:positionH relativeFrom="column">
              <wp:posOffset>0</wp:posOffset>
            </wp:positionH>
            <wp:positionV relativeFrom="paragraph">
              <wp:posOffset>53340</wp:posOffset>
            </wp:positionV>
            <wp:extent cx="4023360" cy="2317899"/>
            <wp:effectExtent l="0" t="0" r="0" b="63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3360" cy="23178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14765D" w14:textId="77777777" w:rsidR="00DF4F51" w:rsidRPr="00956C5F" w:rsidRDefault="00DF4F51" w:rsidP="00956C5F">
      <w:pPr>
        <w:spacing w:line="360" w:lineRule="auto"/>
        <w:rPr>
          <w:sz w:val="22"/>
        </w:rPr>
      </w:pPr>
    </w:p>
    <w:p w14:paraId="010DA7B4" w14:textId="77777777" w:rsidR="00DF4F51" w:rsidRPr="00956C5F" w:rsidRDefault="00DF4F51" w:rsidP="00956C5F">
      <w:pPr>
        <w:spacing w:line="360" w:lineRule="auto"/>
        <w:rPr>
          <w:sz w:val="22"/>
        </w:rPr>
      </w:pPr>
    </w:p>
    <w:p w14:paraId="03E756AC" w14:textId="77777777" w:rsidR="00DF4F51" w:rsidRPr="00956C5F" w:rsidRDefault="00DF4F51" w:rsidP="00956C5F">
      <w:pPr>
        <w:spacing w:line="360" w:lineRule="auto"/>
        <w:rPr>
          <w:sz w:val="22"/>
        </w:rPr>
      </w:pPr>
    </w:p>
    <w:p w14:paraId="5CF4B364" w14:textId="77777777" w:rsidR="00DF4F51" w:rsidRPr="00956C5F" w:rsidRDefault="00DF4F51" w:rsidP="00956C5F">
      <w:pPr>
        <w:spacing w:line="360" w:lineRule="auto"/>
        <w:rPr>
          <w:sz w:val="22"/>
        </w:rPr>
      </w:pPr>
    </w:p>
    <w:p w14:paraId="3292DD6D" w14:textId="77777777" w:rsidR="00DF4F51" w:rsidRPr="00956C5F" w:rsidRDefault="00DF4F51" w:rsidP="00956C5F">
      <w:pPr>
        <w:spacing w:line="360" w:lineRule="auto"/>
        <w:rPr>
          <w:sz w:val="22"/>
        </w:rPr>
      </w:pPr>
    </w:p>
    <w:p w14:paraId="47456DDF" w14:textId="77777777" w:rsidR="00DF4F51" w:rsidRPr="00956C5F" w:rsidRDefault="00DF4F51" w:rsidP="00956C5F">
      <w:pPr>
        <w:spacing w:line="360" w:lineRule="auto"/>
        <w:rPr>
          <w:sz w:val="22"/>
        </w:rPr>
      </w:pPr>
    </w:p>
    <w:p w14:paraId="4D94E498" w14:textId="77777777" w:rsidR="00E443C1" w:rsidRPr="00956C5F" w:rsidRDefault="00E443C1" w:rsidP="00956C5F">
      <w:pPr>
        <w:autoSpaceDE w:val="0"/>
        <w:autoSpaceDN w:val="0"/>
        <w:adjustRightInd w:val="0"/>
        <w:spacing w:line="360" w:lineRule="auto"/>
        <w:rPr>
          <w:sz w:val="22"/>
        </w:rPr>
      </w:pPr>
      <w:r w:rsidRPr="00956C5F">
        <w:rPr>
          <w:sz w:val="22"/>
        </w:rPr>
        <w:lastRenderedPageBreak/>
        <w:br w:type="textWrapping" w:clear="all"/>
      </w:r>
      <w:r w:rsidRPr="00956C5F">
        <w:rPr>
          <w:b/>
          <w:bCs/>
          <w:iCs/>
          <w:sz w:val="22"/>
        </w:rPr>
        <w:t>Fig</w:t>
      </w:r>
      <w:r w:rsidR="002C23D7" w:rsidRPr="00956C5F">
        <w:rPr>
          <w:b/>
          <w:bCs/>
          <w:iCs/>
          <w:sz w:val="22"/>
        </w:rPr>
        <w:t xml:space="preserve">ure </w:t>
      </w:r>
      <w:r w:rsidRPr="00956C5F">
        <w:rPr>
          <w:b/>
          <w:bCs/>
          <w:iCs/>
          <w:sz w:val="22"/>
        </w:rPr>
        <w:t>8</w:t>
      </w:r>
      <w:r w:rsidR="002C23D7" w:rsidRPr="00956C5F">
        <w:rPr>
          <w:bCs/>
          <w:iCs/>
          <w:sz w:val="22"/>
        </w:rPr>
        <w:t>.</w:t>
      </w:r>
      <w:r w:rsidRPr="00956C5F">
        <w:rPr>
          <w:iCs/>
          <w:sz w:val="22"/>
        </w:rPr>
        <w:t xml:space="preserve"> Effect of initial chromium (VI) concentration on removal efficiency of the adsorbent</w:t>
      </w:r>
      <w:r w:rsidR="00932F7B" w:rsidRPr="00956C5F">
        <w:rPr>
          <w:iCs/>
          <w:sz w:val="22"/>
        </w:rPr>
        <w:t xml:space="preserve"> (</w:t>
      </w:r>
      <w:proofErr w:type="spellStart"/>
      <w:r w:rsidR="00932F7B" w:rsidRPr="00956C5F">
        <w:rPr>
          <w:iCs/>
          <w:sz w:val="22"/>
        </w:rPr>
        <w:t>Temprature</w:t>
      </w:r>
      <w:proofErr w:type="spellEnd"/>
      <w:r w:rsidR="00932F7B" w:rsidRPr="00956C5F">
        <w:rPr>
          <w:iCs/>
          <w:sz w:val="22"/>
        </w:rPr>
        <w:t xml:space="preserve"> </w:t>
      </w:r>
      <w:r w:rsidRPr="00956C5F">
        <w:rPr>
          <w:iCs/>
          <w:sz w:val="22"/>
        </w:rPr>
        <w:t>=55</w:t>
      </w:r>
      <w:r w:rsidRPr="00956C5F">
        <w:rPr>
          <w:iCs/>
          <w:sz w:val="22"/>
          <w:vertAlign w:val="superscript"/>
        </w:rPr>
        <w:t>0</w:t>
      </w:r>
      <w:r w:rsidRPr="00956C5F">
        <w:rPr>
          <w:iCs/>
          <w:sz w:val="22"/>
        </w:rPr>
        <w:t xml:space="preserve">c, pH = 6, </w:t>
      </w:r>
      <w:r w:rsidR="00932F7B" w:rsidRPr="00956C5F">
        <w:rPr>
          <w:iCs/>
          <w:sz w:val="22"/>
        </w:rPr>
        <w:t xml:space="preserve">contact </w:t>
      </w:r>
      <w:r w:rsidRPr="00956C5F">
        <w:rPr>
          <w:iCs/>
          <w:sz w:val="22"/>
        </w:rPr>
        <w:t>t</w:t>
      </w:r>
      <w:r w:rsidR="00932F7B" w:rsidRPr="00956C5F">
        <w:rPr>
          <w:iCs/>
          <w:sz w:val="22"/>
        </w:rPr>
        <w:t>ime</w:t>
      </w:r>
      <w:r w:rsidRPr="00956C5F">
        <w:rPr>
          <w:iCs/>
          <w:sz w:val="22"/>
        </w:rPr>
        <w:t xml:space="preserve"> =12 </w:t>
      </w:r>
      <w:proofErr w:type="spellStart"/>
      <w:r w:rsidRPr="00956C5F">
        <w:rPr>
          <w:iCs/>
          <w:sz w:val="22"/>
        </w:rPr>
        <w:t>hrs</w:t>
      </w:r>
      <w:proofErr w:type="spellEnd"/>
      <w:r w:rsidR="00932F7B" w:rsidRPr="00956C5F">
        <w:rPr>
          <w:iCs/>
          <w:sz w:val="22"/>
        </w:rPr>
        <w:t>, dose = 40 g/L).</w:t>
      </w:r>
    </w:p>
    <w:p w14:paraId="64127A3A" w14:textId="77777777" w:rsidR="006661ED" w:rsidRPr="00956C5F" w:rsidRDefault="006661ED" w:rsidP="00956C5F">
      <w:pPr>
        <w:spacing w:line="360" w:lineRule="auto"/>
        <w:rPr>
          <w:sz w:val="22"/>
        </w:rPr>
      </w:pPr>
      <w:r w:rsidRPr="00956C5F">
        <w:rPr>
          <w:noProof/>
          <w:sz w:val="22"/>
        </w:rPr>
        <w:drawing>
          <wp:inline distT="0" distB="0" distL="0" distR="0" wp14:anchorId="3FD8B324" wp14:editId="775D3EF2">
            <wp:extent cx="3955098" cy="2377440"/>
            <wp:effectExtent l="0" t="0" r="762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5098" cy="2377440"/>
                    </a:xfrm>
                    <a:prstGeom prst="rect">
                      <a:avLst/>
                    </a:prstGeom>
                    <a:noFill/>
                    <a:ln>
                      <a:noFill/>
                    </a:ln>
                  </pic:spPr>
                </pic:pic>
              </a:graphicData>
            </a:graphic>
          </wp:inline>
        </w:drawing>
      </w:r>
    </w:p>
    <w:p w14:paraId="33E7E933" w14:textId="77777777" w:rsidR="006661ED" w:rsidRPr="00956C5F" w:rsidRDefault="006661ED" w:rsidP="00956C5F">
      <w:pPr>
        <w:autoSpaceDE w:val="0"/>
        <w:autoSpaceDN w:val="0"/>
        <w:adjustRightInd w:val="0"/>
        <w:spacing w:after="0" w:line="360" w:lineRule="auto"/>
        <w:rPr>
          <w:sz w:val="22"/>
        </w:rPr>
      </w:pPr>
      <w:r w:rsidRPr="00956C5F">
        <w:rPr>
          <w:b/>
          <w:sz w:val="22"/>
        </w:rPr>
        <w:t>Figure</w:t>
      </w:r>
      <w:r w:rsidRPr="00956C5F">
        <w:rPr>
          <w:sz w:val="22"/>
        </w:rPr>
        <w:t xml:space="preserve"> </w:t>
      </w:r>
      <w:r w:rsidR="00E443C1" w:rsidRPr="00956C5F">
        <w:rPr>
          <w:b/>
          <w:sz w:val="22"/>
        </w:rPr>
        <w:t>9</w:t>
      </w:r>
      <w:r w:rsidR="002C23D7" w:rsidRPr="00956C5F">
        <w:rPr>
          <w:sz w:val="22"/>
        </w:rPr>
        <w:t>.</w:t>
      </w:r>
      <w:r w:rsidRPr="00956C5F">
        <w:rPr>
          <w:sz w:val="22"/>
        </w:rPr>
        <w:t xml:space="preserve"> Influence of initial Cr</w:t>
      </w:r>
      <w:r w:rsidR="00400461" w:rsidRPr="00956C5F">
        <w:rPr>
          <w:sz w:val="22"/>
        </w:rPr>
        <w:t xml:space="preserve"> (VI)</w:t>
      </w:r>
      <w:r w:rsidRPr="00956C5F">
        <w:rPr>
          <w:sz w:val="22"/>
        </w:rPr>
        <w:t xml:space="preserve"> </w:t>
      </w:r>
      <w:r w:rsidR="00E65C50" w:rsidRPr="00956C5F">
        <w:rPr>
          <w:sz w:val="22"/>
        </w:rPr>
        <w:t xml:space="preserve">ion concentration on adsorption </w:t>
      </w:r>
      <w:r w:rsidRPr="00956C5F">
        <w:rPr>
          <w:sz w:val="22"/>
        </w:rPr>
        <w:t xml:space="preserve">(mg/g) </w:t>
      </w:r>
      <w:r w:rsidR="00E65C50" w:rsidRPr="00956C5F">
        <w:rPr>
          <w:sz w:val="22"/>
        </w:rPr>
        <w:t>(dose=</w:t>
      </w:r>
      <w:r w:rsidRPr="00956C5F">
        <w:rPr>
          <w:sz w:val="22"/>
        </w:rPr>
        <w:t xml:space="preserve"> </w:t>
      </w:r>
      <w:r w:rsidR="00E65C50" w:rsidRPr="00956C5F">
        <w:rPr>
          <w:sz w:val="22"/>
        </w:rPr>
        <w:t xml:space="preserve">40 g/L, </w:t>
      </w:r>
      <w:r w:rsidRPr="00956C5F">
        <w:rPr>
          <w:sz w:val="22"/>
        </w:rPr>
        <w:t>pH=</w:t>
      </w:r>
      <w:proofErr w:type="gramStart"/>
      <w:r w:rsidRPr="00956C5F">
        <w:rPr>
          <w:sz w:val="22"/>
        </w:rPr>
        <w:t xml:space="preserve">6 </w:t>
      </w:r>
      <w:r w:rsidR="00804142" w:rsidRPr="00956C5F">
        <w:rPr>
          <w:sz w:val="22"/>
        </w:rPr>
        <w:t>,</w:t>
      </w:r>
      <w:proofErr w:type="gramEnd"/>
      <w:r w:rsidR="00804142" w:rsidRPr="00956C5F">
        <w:rPr>
          <w:sz w:val="22"/>
        </w:rPr>
        <w:t xml:space="preserve"> </w:t>
      </w:r>
      <w:proofErr w:type="spellStart"/>
      <w:r w:rsidR="00804142" w:rsidRPr="00956C5F">
        <w:rPr>
          <w:sz w:val="22"/>
        </w:rPr>
        <w:t>Temprature</w:t>
      </w:r>
      <w:proofErr w:type="spellEnd"/>
      <w:r w:rsidRPr="00956C5F">
        <w:rPr>
          <w:sz w:val="22"/>
        </w:rPr>
        <w:t xml:space="preserve"> 55</w:t>
      </w:r>
      <w:r w:rsidR="00804142" w:rsidRPr="00956C5F">
        <w:rPr>
          <w:sz w:val="22"/>
        </w:rPr>
        <w:t xml:space="preserve"> </w:t>
      </w:r>
      <w:proofErr w:type="spellStart"/>
      <w:r w:rsidRPr="00956C5F">
        <w:rPr>
          <w:sz w:val="22"/>
          <w:vertAlign w:val="superscript"/>
        </w:rPr>
        <w:t>o</w:t>
      </w:r>
      <w:r w:rsidRPr="00956C5F">
        <w:rPr>
          <w:sz w:val="22"/>
        </w:rPr>
        <w:t>c</w:t>
      </w:r>
      <w:proofErr w:type="spellEnd"/>
      <w:r w:rsidR="00804142" w:rsidRPr="00956C5F">
        <w:rPr>
          <w:sz w:val="22"/>
        </w:rPr>
        <w:t xml:space="preserve">, contact time 12 </w:t>
      </w:r>
      <w:proofErr w:type="spellStart"/>
      <w:r w:rsidR="00804142" w:rsidRPr="00956C5F">
        <w:rPr>
          <w:sz w:val="22"/>
        </w:rPr>
        <w:t>hrs</w:t>
      </w:r>
      <w:proofErr w:type="spellEnd"/>
      <w:r w:rsidR="00804142" w:rsidRPr="00956C5F">
        <w:rPr>
          <w:sz w:val="22"/>
        </w:rPr>
        <w:t>).</w:t>
      </w:r>
    </w:p>
    <w:p w14:paraId="62EA131B" w14:textId="6141E44E" w:rsidR="006661ED" w:rsidRPr="00956C5F" w:rsidRDefault="006D7F89" w:rsidP="00956C5F">
      <w:pPr>
        <w:pStyle w:val="Heading3"/>
        <w:spacing w:line="360" w:lineRule="auto"/>
        <w:jc w:val="both"/>
        <w:rPr>
          <w:rFonts w:ascii="Times New Roman" w:hAnsi="Times New Roman"/>
          <w:color w:val="auto"/>
          <w:sz w:val="22"/>
          <w:szCs w:val="22"/>
        </w:rPr>
      </w:pPr>
      <w:bookmarkStart w:id="33" w:name="_Toc502677842"/>
      <w:r w:rsidRPr="00956C5F">
        <w:rPr>
          <w:rFonts w:ascii="Times New Roman" w:hAnsi="Times New Roman"/>
          <w:color w:val="auto"/>
          <w:sz w:val="22"/>
          <w:szCs w:val="22"/>
          <w:lang w:val="en-US"/>
        </w:rPr>
        <w:t>3</w:t>
      </w:r>
      <w:r w:rsidR="007B086B" w:rsidRPr="00956C5F">
        <w:rPr>
          <w:rFonts w:ascii="Times New Roman" w:hAnsi="Times New Roman"/>
          <w:color w:val="auto"/>
          <w:sz w:val="22"/>
          <w:szCs w:val="22"/>
        </w:rPr>
        <w:t>.</w:t>
      </w:r>
      <w:r w:rsidR="007B086B" w:rsidRPr="00956C5F">
        <w:rPr>
          <w:rFonts w:ascii="Times New Roman" w:hAnsi="Times New Roman"/>
          <w:color w:val="auto"/>
          <w:sz w:val="22"/>
          <w:szCs w:val="22"/>
          <w:lang w:val="en-US"/>
        </w:rPr>
        <w:t>2</w:t>
      </w:r>
      <w:r w:rsidR="006661ED" w:rsidRPr="00956C5F">
        <w:rPr>
          <w:rFonts w:ascii="Times New Roman" w:hAnsi="Times New Roman"/>
          <w:color w:val="auto"/>
          <w:sz w:val="22"/>
          <w:szCs w:val="22"/>
        </w:rPr>
        <w:t>.</w:t>
      </w:r>
      <w:r w:rsidRPr="00956C5F">
        <w:rPr>
          <w:rFonts w:ascii="Times New Roman" w:hAnsi="Times New Roman"/>
          <w:color w:val="auto"/>
          <w:sz w:val="22"/>
          <w:szCs w:val="22"/>
          <w:lang w:val="en-US"/>
        </w:rPr>
        <w:t>5</w:t>
      </w:r>
      <w:r w:rsidR="006661ED" w:rsidRPr="00956C5F">
        <w:rPr>
          <w:rFonts w:ascii="Times New Roman" w:hAnsi="Times New Roman"/>
          <w:color w:val="auto"/>
          <w:sz w:val="22"/>
          <w:szCs w:val="22"/>
        </w:rPr>
        <w:t xml:space="preserve"> Effect of </w:t>
      </w:r>
      <w:r w:rsidR="001C7C89">
        <w:rPr>
          <w:rFonts w:ascii="Times New Roman" w:hAnsi="Times New Roman"/>
          <w:color w:val="auto"/>
          <w:sz w:val="22"/>
          <w:szCs w:val="22"/>
          <w:lang w:val="en-US"/>
        </w:rPr>
        <w:t>contact</w:t>
      </w:r>
      <w:r w:rsidR="006661ED" w:rsidRPr="00956C5F">
        <w:rPr>
          <w:rFonts w:ascii="Times New Roman" w:hAnsi="Times New Roman"/>
          <w:color w:val="auto"/>
          <w:sz w:val="22"/>
          <w:szCs w:val="22"/>
        </w:rPr>
        <w:t xml:space="preserve"> </w:t>
      </w:r>
      <w:bookmarkEnd w:id="33"/>
      <w:r w:rsidR="001C7C89">
        <w:rPr>
          <w:rFonts w:ascii="Times New Roman" w:hAnsi="Times New Roman"/>
          <w:color w:val="auto"/>
          <w:sz w:val="22"/>
          <w:szCs w:val="22"/>
          <w:lang w:val="en-US"/>
        </w:rPr>
        <w:t xml:space="preserve">time </w:t>
      </w:r>
    </w:p>
    <w:p w14:paraId="48EBDAE2" w14:textId="77777777" w:rsidR="008339D8" w:rsidRPr="00956C5F" w:rsidRDefault="008339D8" w:rsidP="00956C5F">
      <w:pPr>
        <w:autoSpaceDE w:val="0"/>
        <w:autoSpaceDN w:val="0"/>
        <w:adjustRightInd w:val="0"/>
        <w:spacing w:line="360" w:lineRule="auto"/>
        <w:jc w:val="both"/>
        <w:rPr>
          <w:sz w:val="22"/>
        </w:rPr>
      </w:pPr>
      <w:r w:rsidRPr="00956C5F">
        <w:rPr>
          <w:sz w:val="22"/>
        </w:rPr>
        <w:t xml:space="preserve">The variation in chromium adsorption capacity on powdered marble with time is illustrated in </w:t>
      </w:r>
      <w:r w:rsidRPr="00956C5F">
        <w:rPr>
          <w:b/>
          <w:sz w:val="22"/>
        </w:rPr>
        <w:t xml:space="preserve">Figure </w:t>
      </w:r>
      <w:r w:rsidR="00804142" w:rsidRPr="00956C5F">
        <w:rPr>
          <w:b/>
          <w:sz w:val="22"/>
        </w:rPr>
        <w:t>9&amp;</w:t>
      </w:r>
      <w:r w:rsidRPr="00956C5F">
        <w:rPr>
          <w:b/>
          <w:sz w:val="22"/>
        </w:rPr>
        <w:t>10</w:t>
      </w:r>
      <w:r w:rsidRPr="00956C5F">
        <w:rPr>
          <w:sz w:val="22"/>
        </w:rPr>
        <w:t xml:space="preserve">. Both the adsorption capacity and the time required to achieve equilibrium reflect the kinetics of adsorbate transfer from the liquid phase to the adsorbent surface. An adsorption equilibrium of 98.15% for chromium (VI) was attained within 12 hours. In the initial stage, the adsorption rate increased rapidly due to the abundance of active sites on the adsorbent surface. As these active sites became fewer, the rate of adsorption gradually slowed down until equilibrium was reached (Marín </w:t>
      </w:r>
      <w:r w:rsidRPr="00956C5F">
        <w:rPr>
          <w:i/>
          <w:sz w:val="22"/>
        </w:rPr>
        <w:t>et al.,</w:t>
      </w:r>
      <w:r w:rsidRPr="00956C5F">
        <w:rPr>
          <w:sz w:val="22"/>
        </w:rPr>
        <w:t xml:space="preserve"> 2009).</w:t>
      </w:r>
    </w:p>
    <w:p w14:paraId="1B38F568" w14:textId="77777777" w:rsidR="006661ED" w:rsidRPr="00956C5F" w:rsidRDefault="006661ED" w:rsidP="00956C5F">
      <w:pPr>
        <w:autoSpaceDE w:val="0"/>
        <w:autoSpaceDN w:val="0"/>
        <w:adjustRightInd w:val="0"/>
        <w:spacing w:line="360" w:lineRule="auto"/>
        <w:rPr>
          <w:sz w:val="22"/>
        </w:rPr>
      </w:pPr>
      <w:r w:rsidRPr="00956C5F">
        <w:rPr>
          <w:noProof/>
          <w:sz w:val="22"/>
        </w:rPr>
        <w:lastRenderedPageBreak/>
        <w:drawing>
          <wp:inline distT="0" distB="0" distL="0" distR="0" wp14:anchorId="4F44C612" wp14:editId="1C6F79A2">
            <wp:extent cx="4065006" cy="2381062"/>
            <wp:effectExtent l="0" t="0" r="12065" b="19685"/>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2B606F" w14:textId="77777777" w:rsidR="006661ED" w:rsidRPr="00956C5F" w:rsidRDefault="006661ED" w:rsidP="00956C5F">
      <w:pPr>
        <w:autoSpaceDE w:val="0"/>
        <w:autoSpaceDN w:val="0"/>
        <w:adjustRightInd w:val="0"/>
        <w:spacing w:after="0" w:line="360" w:lineRule="auto"/>
        <w:rPr>
          <w:sz w:val="22"/>
        </w:rPr>
      </w:pPr>
      <w:r w:rsidRPr="00956C5F">
        <w:rPr>
          <w:b/>
          <w:sz w:val="22"/>
        </w:rPr>
        <w:t>Figure 1</w:t>
      </w:r>
      <w:r w:rsidR="008339D8" w:rsidRPr="00956C5F">
        <w:rPr>
          <w:b/>
          <w:sz w:val="22"/>
        </w:rPr>
        <w:t>0</w:t>
      </w:r>
      <w:r w:rsidR="002C23D7" w:rsidRPr="00956C5F">
        <w:rPr>
          <w:b/>
          <w:sz w:val="22"/>
        </w:rPr>
        <w:t>.</w:t>
      </w:r>
      <w:r w:rsidRPr="00956C5F">
        <w:rPr>
          <w:sz w:val="22"/>
        </w:rPr>
        <w:t xml:space="preserve"> </w:t>
      </w:r>
      <w:r w:rsidRPr="00956C5F">
        <w:rPr>
          <w:iCs/>
          <w:sz w:val="22"/>
        </w:rPr>
        <w:t xml:space="preserve">Effect of </w:t>
      </w:r>
      <w:r w:rsidR="00932F7B" w:rsidRPr="00956C5F">
        <w:rPr>
          <w:iCs/>
          <w:sz w:val="22"/>
        </w:rPr>
        <w:t>contact</w:t>
      </w:r>
      <w:r w:rsidRPr="00956C5F">
        <w:rPr>
          <w:iCs/>
          <w:sz w:val="22"/>
        </w:rPr>
        <w:t xml:space="preserve"> time on chrom</w:t>
      </w:r>
      <w:r w:rsidR="008339D8" w:rsidRPr="00956C5F">
        <w:rPr>
          <w:iCs/>
          <w:sz w:val="22"/>
        </w:rPr>
        <w:t>ium (VI)</w:t>
      </w:r>
      <w:r w:rsidR="00932F7B" w:rsidRPr="00956C5F">
        <w:rPr>
          <w:iCs/>
          <w:sz w:val="22"/>
        </w:rPr>
        <w:t xml:space="preserve"> removal (Temperature</w:t>
      </w:r>
      <w:r w:rsidRPr="00956C5F">
        <w:rPr>
          <w:iCs/>
          <w:sz w:val="22"/>
        </w:rPr>
        <w:t xml:space="preserve"> =55</w:t>
      </w:r>
      <w:r w:rsidRPr="00956C5F">
        <w:rPr>
          <w:iCs/>
          <w:sz w:val="22"/>
          <w:vertAlign w:val="superscript"/>
        </w:rPr>
        <w:t>0</w:t>
      </w:r>
      <w:r w:rsidRPr="00956C5F">
        <w:rPr>
          <w:iCs/>
          <w:sz w:val="22"/>
        </w:rPr>
        <w:t xml:space="preserve">c, pH = 6, </w:t>
      </w:r>
      <w:r w:rsidR="00804142" w:rsidRPr="00956C5F">
        <w:rPr>
          <w:iCs/>
          <w:sz w:val="22"/>
        </w:rPr>
        <w:t>initial conc</w:t>
      </w:r>
      <w:proofErr w:type="gramStart"/>
      <w:r w:rsidR="00804142" w:rsidRPr="00956C5F">
        <w:rPr>
          <w:iCs/>
          <w:sz w:val="22"/>
        </w:rPr>
        <w:t>.=</w:t>
      </w:r>
      <w:proofErr w:type="gramEnd"/>
      <w:r w:rsidR="00804142" w:rsidRPr="00956C5F">
        <w:rPr>
          <w:iCs/>
          <w:sz w:val="22"/>
        </w:rPr>
        <w:t xml:space="preserve"> 20</w:t>
      </w:r>
      <w:r w:rsidR="00932F7B" w:rsidRPr="00956C5F">
        <w:rPr>
          <w:iCs/>
          <w:sz w:val="22"/>
        </w:rPr>
        <w:t xml:space="preserve"> mg/L,</w:t>
      </w:r>
      <w:r w:rsidRPr="00956C5F">
        <w:rPr>
          <w:iCs/>
          <w:sz w:val="22"/>
        </w:rPr>
        <w:t xml:space="preserve">  and dose = </w:t>
      </w:r>
      <w:r w:rsidR="008339D8" w:rsidRPr="00956C5F">
        <w:rPr>
          <w:iCs/>
          <w:sz w:val="22"/>
        </w:rPr>
        <w:t>40</w:t>
      </w:r>
      <w:r w:rsidRPr="00956C5F">
        <w:rPr>
          <w:iCs/>
          <w:sz w:val="22"/>
        </w:rPr>
        <w:t xml:space="preserve"> g/</w:t>
      </w:r>
      <w:r w:rsidR="006D7F89" w:rsidRPr="00956C5F">
        <w:rPr>
          <w:iCs/>
          <w:sz w:val="22"/>
        </w:rPr>
        <w:t>L</w:t>
      </w:r>
      <w:r w:rsidR="00932F7B" w:rsidRPr="00956C5F">
        <w:rPr>
          <w:iCs/>
          <w:sz w:val="22"/>
        </w:rPr>
        <w:t>)</w:t>
      </w:r>
      <w:r w:rsidRPr="00956C5F">
        <w:rPr>
          <w:iCs/>
          <w:sz w:val="22"/>
        </w:rPr>
        <w:t>.</w:t>
      </w:r>
    </w:p>
    <w:p w14:paraId="621F715E" w14:textId="77777777" w:rsidR="006661ED" w:rsidRPr="00956C5F" w:rsidRDefault="006D7F89" w:rsidP="00956C5F">
      <w:pPr>
        <w:pStyle w:val="Heading3"/>
        <w:spacing w:line="360" w:lineRule="auto"/>
        <w:jc w:val="both"/>
        <w:rPr>
          <w:rFonts w:ascii="Times New Roman" w:hAnsi="Times New Roman"/>
          <w:color w:val="auto"/>
          <w:sz w:val="22"/>
          <w:szCs w:val="22"/>
        </w:rPr>
      </w:pPr>
      <w:bookmarkStart w:id="34" w:name="_Toc502677843"/>
      <w:r w:rsidRPr="00956C5F">
        <w:rPr>
          <w:rFonts w:ascii="Times New Roman" w:hAnsi="Times New Roman"/>
          <w:color w:val="auto"/>
          <w:sz w:val="22"/>
          <w:szCs w:val="22"/>
          <w:lang w:val="en-US"/>
        </w:rPr>
        <w:t>3</w:t>
      </w:r>
      <w:r w:rsidR="006661ED" w:rsidRPr="00956C5F">
        <w:rPr>
          <w:rFonts w:ascii="Times New Roman" w:hAnsi="Times New Roman"/>
          <w:color w:val="auto"/>
          <w:sz w:val="22"/>
          <w:szCs w:val="22"/>
        </w:rPr>
        <w:t>.</w:t>
      </w:r>
      <w:r w:rsidR="007B086B" w:rsidRPr="00956C5F">
        <w:rPr>
          <w:rFonts w:ascii="Times New Roman" w:hAnsi="Times New Roman"/>
          <w:color w:val="auto"/>
          <w:sz w:val="22"/>
          <w:szCs w:val="22"/>
          <w:lang w:val="en-US"/>
        </w:rPr>
        <w:t>2</w:t>
      </w:r>
      <w:r w:rsidR="006661ED" w:rsidRPr="00956C5F">
        <w:rPr>
          <w:rFonts w:ascii="Times New Roman" w:hAnsi="Times New Roman"/>
          <w:color w:val="auto"/>
          <w:sz w:val="22"/>
          <w:szCs w:val="22"/>
        </w:rPr>
        <w:t>.</w:t>
      </w:r>
      <w:r w:rsidRPr="00956C5F">
        <w:rPr>
          <w:rFonts w:ascii="Times New Roman" w:hAnsi="Times New Roman"/>
          <w:color w:val="auto"/>
          <w:sz w:val="22"/>
          <w:szCs w:val="22"/>
          <w:lang w:val="en-US"/>
        </w:rPr>
        <w:t>6</w:t>
      </w:r>
      <w:r w:rsidR="006661ED" w:rsidRPr="00956C5F">
        <w:rPr>
          <w:rFonts w:ascii="Times New Roman" w:hAnsi="Times New Roman"/>
          <w:color w:val="auto"/>
          <w:sz w:val="22"/>
          <w:szCs w:val="22"/>
        </w:rPr>
        <w:t xml:space="preserve"> Effect of </w:t>
      </w:r>
      <w:r w:rsidR="002A3A23" w:rsidRPr="00956C5F">
        <w:rPr>
          <w:rFonts w:ascii="Times New Roman" w:hAnsi="Times New Roman"/>
          <w:color w:val="auto"/>
          <w:sz w:val="22"/>
          <w:szCs w:val="22"/>
          <w:lang w:val="en-US"/>
        </w:rPr>
        <w:t>t</w:t>
      </w:r>
      <w:proofErr w:type="spellStart"/>
      <w:r w:rsidR="006661ED" w:rsidRPr="00956C5F">
        <w:rPr>
          <w:rFonts w:ascii="Times New Roman" w:hAnsi="Times New Roman"/>
          <w:color w:val="auto"/>
          <w:sz w:val="22"/>
          <w:szCs w:val="22"/>
        </w:rPr>
        <w:t>emperature</w:t>
      </w:r>
      <w:proofErr w:type="spellEnd"/>
      <w:r w:rsidR="006661ED" w:rsidRPr="00956C5F">
        <w:rPr>
          <w:rFonts w:ascii="Times New Roman" w:hAnsi="Times New Roman"/>
          <w:color w:val="auto"/>
          <w:sz w:val="22"/>
          <w:szCs w:val="22"/>
        </w:rPr>
        <w:t xml:space="preserve"> and </w:t>
      </w:r>
      <w:r w:rsidR="002A3A23" w:rsidRPr="00956C5F">
        <w:rPr>
          <w:rFonts w:ascii="Times New Roman" w:hAnsi="Times New Roman"/>
          <w:color w:val="auto"/>
          <w:sz w:val="22"/>
          <w:szCs w:val="22"/>
          <w:lang w:val="en-US"/>
        </w:rPr>
        <w:t>t</w:t>
      </w:r>
      <w:proofErr w:type="spellStart"/>
      <w:r w:rsidR="006661ED" w:rsidRPr="00956C5F">
        <w:rPr>
          <w:rFonts w:ascii="Times New Roman" w:hAnsi="Times New Roman"/>
          <w:color w:val="auto"/>
          <w:sz w:val="22"/>
          <w:szCs w:val="22"/>
        </w:rPr>
        <w:t>hermodynamic</w:t>
      </w:r>
      <w:proofErr w:type="spellEnd"/>
      <w:r w:rsidR="006661ED" w:rsidRPr="00956C5F">
        <w:rPr>
          <w:rFonts w:ascii="Times New Roman" w:hAnsi="Times New Roman"/>
          <w:color w:val="auto"/>
          <w:sz w:val="22"/>
          <w:szCs w:val="22"/>
        </w:rPr>
        <w:t xml:space="preserve"> </w:t>
      </w:r>
      <w:r w:rsidR="002A3A23" w:rsidRPr="00956C5F">
        <w:rPr>
          <w:rFonts w:ascii="Times New Roman" w:hAnsi="Times New Roman"/>
          <w:color w:val="auto"/>
          <w:sz w:val="22"/>
          <w:szCs w:val="22"/>
          <w:lang w:val="en-US"/>
        </w:rPr>
        <w:t>p</w:t>
      </w:r>
      <w:proofErr w:type="spellStart"/>
      <w:r w:rsidR="006661ED" w:rsidRPr="00956C5F">
        <w:rPr>
          <w:rFonts w:ascii="Times New Roman" w:hAnsi="Times New Roman"/>
          <w:color w:val="auto"/>
          <w:sz w:val="22"/>
          <w:szCs w:val="22"/>
        </w:rPr>
        <w:t>arameters</w:t>
      </w:r>
      <w:proofErr w:type="spellEnd"/>
      <w:r w:rsidR="006661ED" w:rsidRPr="00956C5F">
        <w:rPr>
          <w:rFonts w:ascii="Times New Roman" w:hAnsi="Times New Roman"/>
          <w:color w:val="auto"/>
          <w:sz w:val="22"/>
          <w:szCs w:val="22"/>
        </w:rPr>
        <w:t>.</w:t>
      </w:r>
      <w:bookmarkEnd w:id="34"/>
    </w:p>
    <w:p w14:paraId="6B4D047A" w14:textId="77777777" w:rsidR="00511928" w:rsidRPr="00956C5F" w:rsidRDefault="00511928" w:rsidP="00956C5F">
      <w:pPr>
        <w:pStyle w:val="NormalWeb"/>
        <w:spacing w:before="0" w:beforeAutospacing="0" w:line="360" w:lineRule="auto"/>
        <w:jc w:val="both"/>
        <w:rPr>
          <w:sz w:val="22"/>
          <w:szCs w:val="22"/>
        </w:rPr>
      </w:pPr>
      <w:r w:rsidRPr="00956C5F">
        <w:rPr>
          <w:sz w:val="22"/>
          <w:szCs w:val="22"/>
        </w:rPr>
        <w:t xml:space="preserve">Temperature significantly influences adsorption by affecting both diffusion rates and the equilibrium capacity of the adsorbent. In this study, adsorption of 20 mg/L Chromium (VI) ions onto 40 g/L powdered marble chip waste was examined at 25, 40, and 55 °C. As shown in </w:t>
      </w:r>
      <w:r w:rsidRPr="00956C5F">
        <w:rPr>
          <w:b/>
          <w:sz w:val="22"/>
          <w:szCs w:val="22"/>
        </w:rPr>
        <w:t>Figure 11</w:t>
      </w:r>
      <w:r w:rsidRPr="00956C5F">
        <w:rPr>
          <w:sz w:val="22"/>
          <w:szCs w:val="22"/>
        </w:rPr>
        <w:t xml:space="preserve">, adsorption increased with temperature, indicating an endothermic process. This enhancement may result from the generation of new active sites, faster adsorption kinetics, or improved ion mobility toward the adsorbent surface. Additionally, the equilibration time decreased, reaching 98.15% Cr (VI) removal. The findings suggest that adsorption likely involves chemical bonding and ion exchange, possibly forming </w:t>
      </w:r>
      <w:proofErr w:type="spellStart"/>
      <w:r w:rsidRPr="00956C5F">
        <w:rPr>
          <w:sz w:val="22"/>
          <w:szCs w:val="22"/>
        </w:rPr>
        <w:t>CrCO</w:t>
      </w:r>
      <w:proofErr w:type="spellEnd"/>
      <w:r w:rsidRPr="00956C5F">
        <w:rPr>
          <w:sz w:val="22"/>
          <w:szCs w:val="22"/>
        </w:rPr>
        <w:t>₃ through interaction with oxygen sites on the marble surface (Al-</w:t>
      </w:r>
      <w:proofErr w:type="spellStart"/>
      <w:r w:rsidRPr="00956C5F">
        <w:rPr>
          <w:sz w:val="22"/>
          <w:szCs w:val="22"/>
        </w:rPr>
        <w:t>Asheh</w:t>
      </w:r>
      <w:proofErr w:type="spellEnd"/>
      <w:r w:rsidRPr="00956C5F">
        <w:rPr>
          <w:sz w:val="22"/>
          <w:szCs w:val="22"/>
        </w:rPr>
        <w:t xml:space="preserve"> &amp; Banat, 2001). Given that many industrial effluents are hot, this adsorption method could be suitable for treating Cr (VI)-contaminated wastewater.</w:t>
      </w:r>
    </w:p>
    <w:p w14:paraId="04B1BAA7" w14:textId="77777777" w:rsidR="00806103" w:rsidRPr="00956C5F" w:rsidRDefault="00806103" w:rsidP="00956C5F">
      <w:pPr>
        <w:pStyle w:val="z-TopofForm"/>
        <w:spacing w:line="360" w:lineRule="auto"/>
        <w:rPr>
          <w:rFonts w:ascii="Times New Roman" w:hAnsi="Times New Roman" w:cs="Times New Roman"/>
          <w:sz w:val="22"/>
          <w:szCs w:val="22"/>
        </w:rPr>
      </w:pPr>
      <w:r w:rsidRPr="00956C5F">
        <w:rPr>
          <w:rFonts w:ascii="Times New Roman" w:hAnsi="Times New Roman" w:cs="Times New Roman"/>
          <w:sz w:val="22"/>
          <w:szCs w:val="22"/>
        </w:rPr>
        <w:lastRenderedPageBreak/>
        <w:t>Top of Form</w:t>
      </w:r>
    </w:p>
    <w:p w14:paraId="315255BC" w14:textId="77777777" w:rsidR="00806103" w:rsidRPr="00956C5F" w:rsidRDefault="00806103" w:rsidP="00956C5F">
      <w:pPr>
        <w:pStyle w:val="z-BottomofForm"/>
        <w:spacing w:line="360" w:lineRule="auto"/>
        <w:rPr>
          <w:rFonts w:ascii="Times New Roman" w:hAnsi="Times New Roman" w:cs="Times New Roman"/>
          <w:sz w:val="22"/>
          <w:szCs w:val="22"/>
        </w:rPr>
      </w:pPr>
      <w:r w:rsidRPr="00956C5F">
        <w:rPr>
          <w:rFonts w:ascii="Times New Roman" w:hAnsi="Times New Roman" w:cs="Times New Roman"/>
          <w:sz w:val="22"/>
          <w:szCs w:val="22"/>
        </w:rPr>
        <w:t>Bottom of Form</w:t>
      </w:r>
    </w:p>
    <w:p w14:paraId="3EAFE88F" w14:textId="77777777" w:rsidR="006661ED" w:rsidRPr="00956C5F" w:rsidRDefault="006661ED" w:rsidP="00956C5F">
      <w:pPr>
        <w:autoSpaceDE w:val="0"/>
        <w:autoSpaceDN w:val="0"/>
        <w:adjustRightInd w:val="0"/>
        <w:spacing w:after="0" w:line="360" w:lineRule="auto"/>
        <w:rPr>
          <w:sz w:val="22"/>
        </w:rPr>
      </w:pPr>
      <w:r w:rsidRPr="00956C5F">
        <w:rPr>
          <w:noProof/>
          <w:sz w:val="22"/>
        </w:rPr>
        <w:drawing>
          <wp:inline distT="0" distB="0" distL="0" distR="0" wp14:anchorId="7B99EE33" wp14:editId="5B541D20">
            <wp:extent cx="4250410" cy="2382865"/>
            <wp:effectExtent l="0" t="0" r="17145" b="1778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7998ED" w14:textId="77777777" w:rsidR="006661ED" w:rsidRPr="00956C5F" w:rsidRDefault="006661ED" w:rsidP="00956C5F">
      <w:pPr>
        <w:autoSpaceDE w:val="0"/>
        <w:autoSpaceDN w:val="0"/>
        <w:adjustRightInd w:val="0"/>
        <w:spacing w:before="240" w:after="0" w:line="360" w:lineRule="auto"/>
        <w:rPr>
          <w:sz w:val="22"/>
        </w:rPr>
      </w:pPr>
      <w:r w:rsidRPr="00956C5F">
        <w:rPr>
          <w:b/>
          <w:sz w:val="22"/>
        </w:rPr>
        <w:t xml:space="preserve">Figure </w:t>
      </w:r>
      <w:r w:rsidR="002C23D7" w:rsidRPr="00956C5F">
        <w:rPr>
          <w:b/>
          <w:sz w:val="22"/>
        </w:rPr>
        <w:t>11</w:t>
      </w:r>
      <w:r w:rsidRPr="00956C5F">
        <w:rPr>
          <w:sz w:val="22"/>
        </w:rPr>
        <w:t xml:space="preserve"> Effect of temperature </w:t>
      </w:r>
      <w:r w:rsidRPr="00956C5F">
        <w:rPr>
          <w:iCs/>
          <w:sz w:val="22"/>
        </w:rPr>
        <w:t>on removal efficiency: pH = 6, rpm=200 and dose = 6 mg/</w:t>
      </w:r>
      <w:r w:rsidR="006D7F89" w:rsidRPr="00956C5F">
        <w:rPr>
          <w:iCs/>
          <w:sz w:val="22"/>
        </w:rPr>
        <w:t>L</w:t>
      </w:r>
      <w:r w:rsidRPr="00956C5F">
        <w:rPr>
          <w:iCs/>
          <w:sz w:val="22"/>
        </w:rPr>
        <w:t>.</w:t>
      </w:r>
    </w:p>
    <w:p w14:paraId="3CECBA47" w14:textId="77777777" w:rsidR="006661ED" w:rsidRPr="00956C5F" w:rsidRDefault="006661ED" w:rsidP="00956C5F">
      <w:pPr>
        <w:tabs>
          <w:tab w:val="left" w:pos="180"/>
          <w:tab w:val="left" w:pos="1722"/>
          <w:tab w:val="left" w:pos="3265"/>
          <w:tab w:val="left" w:pos="4808"/>
          <w:tab w:val="left" w:pos="6351"/>
          <w:tab w:val="left" w:pos="7894"/>
          <w:tab w:val="left" w:pos="9437"/>
        </w:tabs>
        <w:autoSpaceDE w:val="0"/>
        <w:autoSpaceDN w:val="0"/>
        <w:adjustRightInd w:val="0"/>
        <w:spacing w:after="0" w:line="360" w:lineRule="auto"/>
        <w:jc w:val="both"/>
        <w:rPr>
          <w:bCs/>
          <w:iCs/>
          <w:sz w:val="22"/>
        </w:rPr>
      </w:pPr>
    </w:p>
    <w:p w14:paraId="60B30B22" w14:textId="77777777" w:rsidR="008B149B" w:rsidRPr="00956C5F" w:rsidRDefault="00E43C34" w:rsidP="00956C5F">
      <w:pPr>
        <w:tabs>
          <w:tab w:val="left" w:pos="180"/>
          <w:tab w:val="left" w:pos="6765"/>
        </w:tabs>
        <w:autoSpaceDE w:val="0"/>
        <w:autoSpaceDN w:val="0"/>
        <w:adjustRightInd w:val="0"/>
        <w:spacing w:after="0" w:line="360" w:lineRule="auto"/>
        <w:jc w:val="both"/>
        <w:rPr>
          <w:b/>
          <w:sz w:val="22"/>
        </w:rPr>
      </w:pPr>
      <w:r w:rsidRPr="00956C5F">
        <w:rPr>
          <w:noProof/>
          <w:sz w:val="22"/>
        </w:rPr>
        <w:tab/>
      </w:r>
      <w:bookmarkStart w:id="35" w:name="_Toc502677847"/>
      <w:r w:rsidR="007B086B" w:rsidRPr="00956C5F">
        <w:rPr>
          <w:b/>
          <w:sz w:val="22"/>
        </w:rPr>
        <w:t>3.</w:t>
      </w:r>
      <w:r w:rsidR="00DE5E01" w:rsidRPr="00956C5F">
        <w:rPr>
          <w:b/>
          <w:sz w:val="22"/>
        </w:rPr>
        <w:t>3</w:t>
      </w:r>
      <w:r w:rsidR="007B086B" w:rsidRPr="00956C5F">
        <w:rPr>
          <w:b/>
          <w:sz w:val="22"/>
        </w:rPr>
        <w:t xml:space="preserve"> </w:t>
      </w:r>
      <w:r w:rsidR="008B149B" w:rsidRPr="00956C5F">
        <w:rPr>
          <w:b/>
          <w:sz w:val="22"/>
        </w:rPr>
        <w:t>Adsorption</w:t>
      </w:r>
      <w:r w:rsidR="006661ED" w:rsidRPr="00956C5F">
        <w:rPr>
          <w:b/>
          <w:sz w:val="22"/>
        </w:rPr>
        <w:t xml:space="preserve"> Isotherm</w:t>
      </w:r>
      <w:bookmarkEnd w:id="35"/>
    </w:p>
    <w:p w14:paraId="4FBF1348" w14:textId="77777777" w:rsidR="00FE5DF1" w:rsidRPr="00956C5F" w:rsidRDefault="00FE5DF1" w:rsidP="00956C5F">
      <w:pPr>
        <w:spacing w:line="360" w:lineRule="auto"/>
        <w:jc w:val="both"/>
        <w:rPr>
          <w:sz w:val="22"/>
        </w:rPr>
      </w:pPr>
      <w:r w:rsidRPr="00956C5F">
        <w:rPr>
          <w:sz w:val="22"/>
        </w:rPr>
        <w:t>The adsorption behavior of Cr (VI) on powdered marble waste under optimal conditions was studied. Equilibrium data from batch experiments were used to evaluate the suitability of Langmuir and Freundlich isotherm models, as expressed in equations (4) and (5) (Langmuir, 1918; Freundlich, 1906).</w:t>
      </w:r>
    </w:p>
    <w:p w14:paraId="70539BA0" w14:textId="77777777" w:rsidR="00235F24" w:rsidRPr="00956C5F" w:rsidRDefault="00793A94" w:rsidP="00956C5F">
      <w:pPr>
        <w:spacing w:line="360" w:lineRule="auto"/>
        <w:rPr>
          <w:sz w:val="22"/>
        </w:rPr>
      </w:pPr>
      <m:oMathPara>
        <m:oMathParaPr>
          <m:jc m:val="left"/>
        </m:oMathParaPr>
        <m:oMath>
          <m:f>
            <m:fPr>
              <m:ctrlPr>
                <w:rPr>
                  <w:rFonts w:ascii="Cambria Math" w:hAnsi="Cambria Math"/>
                  <w:sz w:val="22"/>
                </w:rPr>
              </m:ctrlPr>
            </m:fPr>
            <m:num>
              <m:r>
                <w:rPr>
                  <w:rFonts w:ascii="Cambria Math" w:hAnsi="Cambria Math"/>
                  <w:sz w:val="22"/>
                </w:rPr>
                <m:t>Ce</m:t>
              </m:r>
            </m:num>
            <m:den>
              <m:r>
                <w:rPr>
                  <w:rFonts w:ascii="Cambria Math" w:hAnsi="Cambria Math"/>
                  <w:sz w:val="22"/>
                </w:rPr>
                <m:t>qe</m:t>
              </m:r>
            </m:den>
          </m:f>
          <m:r>
            <w:rPr>
              <w:rFonts w:ascii="Cambria Math" w:hAnsi="Cambria Math"/>
              <w:sz w:val="22"/>
            </w:rPr>
            <m:t>=</m:t>
          </m:r>
          <m:f>
            <m:fPr>
              <m:ctrlPr>
                <w:rPr>
                  <w:rFonts w:ascii="Cambria Math" w:hAnsi="Cambria Math"/>
                  <w:sz w:val="22"/>
                </w:rPr>
              </m:ctrlPr>
            </m:fPr>
            <m:num>
              <m:r>
                <w:rPr>
                  <w:rFonts w:ascii="Cambria Math" w:hAnsi="Cambria Math"/>
                  <w:sz w:val="22"/>
                </w:rPr>
                <m:t>1</m:t>
              </m:r>
            </m:num>
            <m:den>
              <m:r>
                <w:rPr>
                  <w:rFonts w:ascii="Cambria Math" w:hAnsi="Cambria Math"/>
                  <w:sz w:val="22"/>
                </w:rPr>
                <m:t>bqm</m:t>
              </m:r>
            </m:den>
          </m:f>
          <m:r>
            <w:rPr>
              <w:rFonts w:ascii="Cambria Math" w:hAnsi="Cambria Math"/>
              <w:sz w:val="22"/>
            </w:rPr>
            <m:t>+</m:t>
          </m:r>
          <m:f>
            <m:fPr>
              <m:ctrlPr>
                <w:rPr>
                  <w:rFonts w:ascii="Cambria Math" w:hAnsi="Cambria Math"/>
                  <w:i/>
                  <w:sz w:val="22"/>
                </w:rPr>
              </m:ctrlPr>
            </m:fPr>
            <m:num>
              <m:r>
                <m:rPr>
                  <m:sty m:val="bi"/>
                </m:rPr>
                <w:rPr>
                  <w:rFonts w:ascii="Cambria Math" w:hAnsi="Cambria Math"/>
                  <w:sz w:val="22"/>
                </w:rPr>
                <m:t>Ce</m:t>
              </m:r>
            </m:num>
            <m:den>
              <m:r>
                <w:rPr>
                  <w:rFonts w:ascii="Cambria Math" w:hAnsi="Cambria Math"/>
                  <w:sz w:val="22"/>
                </w:rPr>
                <m:t>qm</m:t>
              </m:r>
            </m:den>
          </m:f>
          <m:r>
            <w:rPr>
              <w:rFonts w:ascii="Cambria Math" w:hAnsi="Cambria Math"/>
              <w:sz w:val="22"/>
            </w:rPr>
            <m:t xml:space="preserve">   ------------------------------(2)</m:t>
          </m:r>
        </m:oMath>
      </m:oMathPara>
    </w:p>
    <w:p w14:paraId="52864D99" w14:textId="77777777" w:rsidR="00235F24" w:rsidRPr="00956C5F" w:rsidRDefault="00793A94" w:rsidP="00956C5F">
      <w:pPr>
        <w:spacing w:line="360" w:lineRule="auto"/>
        <w:rPr>
          <w:rFonts w:eastAsiaTheme="minorEastAsia"/>
          <w:sz w:val="22"/>
        </w:rPr>
      </w:pPr>
      <m:oMathPara>
        <m:oMathParaPr>
          <m:jc m:val="left"/>
        </m:oMathParaPr>
        <m:oMath>
          <m:func>
            <m:funcPr>
              <m:ctrlPr>
                <w:rPr>
                  <w:rFonts w:ascii="Cambria Math" w:hAnsi="Cambria Math"/>
                  <w:sz w:val="22"/>
                </w:rPr>
              </m:ctrlPr>
            </m:funcPr>
            <m:fName>
              <m:r>
                <m:rPr>
                  <m:sty m:val="p"/>
                </m:rPr>
                <w:rPr>
                  <w:rFonts w:ascii="Cambria Math" w:hAnsi="Cambria Math"/>
                  <w:sz w:val="22"/>
                </w:rPr>
                <m:t>log</m:t>
              </m:r>
            </m:fName>
            <m:e>
              <m:r>
                <w:rPr>
                  <w:rFonts w:ascii="Cambria Math" w:hAnsi="Cambria Math"/>
                  <w:sz w:val="22"/>
                </w:rPr>
                <m:t>qe</m:t>
              </m:r>
            </m:e>
          </m:func>
          <m:r>
            <w:rPr>
              <w:rFonts w:ascii="Cambria Math" w:hAnsi="Cambria Math"/>
              <w:sz w:val="22"/>
            </w:rPr>
            <m:t>=</m:t>
          </m:r>
          <m:func>
            <m:funcPr>
              <m:ctrlPr>
                <w:rPr>
                  <w:rFonts w:ascii="Cambria Math" w:hAnsi="Cambria Math"/>
                  <w:i/>
                  <w:sz w:val="22"/>
                </w:rPr>
              </m:ctrlPr>
            </m:funcPr>
            <m:fName>
              <m:r>
                <m:rPr>
                  <m:sty m:val="p"/>
                </m:rPr>
                <w:rPr>
                  <w:rFonts w:ascii="Cambria Math" w:hAnsi="Cambria Math"/>
                  <w:sz w:val="22"/>
                </w:rPr>
                <m:t>log</m:t>
              </m:r>
            </m:fName>
            <m:e>
              <m:r>
                <w:rPr>
                  <w:rFonts w:ascii="Cambria Math" w:hAnsi="Cambria Math"/>
                  <w:sz w:val="22"/>
                </w:rPr>
                <m:t>Kf</m:t>
              </m:r>
            </m:e>
          </m:func>
          <m:r>
            <w:rPr>
              <w:rFonts w:ascii="Cambria Math" w:hAnsi="Cambria Math"/>
              <w:sz w:val="22"/>
            </w:rPr>
            <m:t>+</m:t>
          </m:r>
          <m:f>
            <m:fPr>
              <m:ctrlPr>
                <w:rPr>
                  <w:rFonts w:ascii="Cambria Math" w:hAnsi="Cambria Math"/>
                  <w:sz w:val="22"/>
                </w:rPr>
              </m:ctrlPr>
            </m:fPr>
            <m:num>
              <m:r>
                <w:rPr>
                  <w:rFonts w:ascii="Cambria Math" w:hAnsi="Cambria Math"/>
                  <w:sz w:val="22"/>
                </w:rPr>
                <m:t>logCe</m:t>
              </m:r>
            </m:num>
            <m:den>
              <m:r>
                <w:rPr>
                  <w:rFonts w:ascii="Cambria Math" w:hAnsi="Cambria Math"/>
                  <w:sz w:val="22"/>
                </w:rPr>
                <m:t>n</m:t>
              </m:r>
            </m:den>
          </m:f>
          <m:r>
            <w:rPr>
              <w:rFonts w:ascii="Cambria Math" w:hAnsi="Cambria Math"/>
              <w:sz w:val="22"/>
            </w:rPr>
            <m:t>----------------------------</m:t>
          </m:r>
          <m:r>
            <w:rPr>
              <w:rFonts w:ascii="Cambria Math" w:hAnsi="Cambria Math"/>
              <w:sz w:val="22"/>
            </w:rPr>
            <m:t>(3)</m:t>
          </m:r>
        </m:oMath>
      </m:oMathPara>
    </w:p>
    <w:p w14:paraId="055BC5D2" w14:textId="77777777" w:rsidR="00235F24" w:rsidRPr="00956C5F" w:rsidRDefault="00FE5DF1" w:rsidP="00956C5F">
      <w:pPr>
        <w:spacing w:line="360" w:lineRule="auto"/>
        <w:jc w:val="both"/>
        <w:rPr>
          <w:sz w:val="22"/>
          <w:lang w:eastAsia="x-none"/>
        </w:rPr>
      </w:pPr>
      <w:r w:rsidRPr="00956C5F">
        <w:rPr>
          <w:sz w:val="22"/>
        </w:rPr>
        <w:t xml:space="preserve">Where </w:t>
      </w:r>
      <w:r w:rsidRPr="00956C5F">
        <w:rPr>
          <w:rStyle w:val="Strong"/>
          <w:b w:val="0"/>
          <w:sz w:val="22"/>
        </w:rPr>
        <w:t>qₘ</w:t>
      </w:r>
      <w:r w:rsidRPr="00956C5F">
        <w:rPr>
          <w:sz w:val="22"/>
        </w:rPr>
        <w:t xml:space="preserve"> is the maximum adsorption capacity (mg g⁻¹), </w:t>
      </w:r>
      <w:r w:rsidRPr="00956C5F">
        <w:rPr>
          <w:rStyle w:val="Strong"/>
          <w:b w:val="0"/>
          <w:sz w:val="22"/>
        </w:rPr>
        <w:t>b</w:t>
      </w:r>
      <w:r w:rsidRPr="00956C5F">
        <w:rPr>
          <w:sz w:val="22"/>
        </w:rPr>
        <w:t xml:space="preserve"> is the Langmuir constant (L mg⁻¹), and </w:t>
      </w:r>
      <w:proofErr w:type="spellStart"/>
      <w:r w:rsidRPr="00956C5F">
        <w:rPr>
          <w:rStyle w:val="Strong"/>
          <w:b w:val="0"/>
          <w:sz w:val="22"/>
        </w:rPr>
        <w:t>Kf</w:t>
      </w:r>
      <w:proofErr w:type="spellEnd"/>
      <w:r w:rsidRPr="00956C5F">
        <w:rPr>
          <w:sz w:val="22"/>
        </w:rPr>
        <w:t xml:space="preserve"> is the </w:t>
      </w:r>
      <w:proofErr w:type="spellStart"/>
      <w:r w:rsidRPr="00956C5F">
        <w:rPr>
          <w:sz w:val="22"/>
        </w:rPr>
        <w:t>Freundlich</w:t>
      </w:r>
      <w:proofErr w:type="spellEnd"/>
      <w:r w:rsidRPr="00956C5F">
        <w:rPr>
          <w:sz w:val="22"/>
        </w:rPr>
        <w:t xml:space="preserve"> constant (L kg⁻¹). The Langmuir parameters </w:t>
      </w:r>
      <w:r w:rsidRPr="00956C5F">
        <w:rPr>
          <w:rStyle w:val="Strong"/>
          <w:b w:val="0"/>
          <w:sz w:val="22"/>
        </w:rPr>
        <w:t>b</w:t>
      </w:r>
      <w:r w:rsidRPr="00956C5F">
        <w:rPr>
          <w:sz w:val="22"/>
        </w:rPr>
        <w:t xml:space="preserve"> and </w:t>
      </w:r>
      <w:r w:rsidRPr="00956C5F">
        <w:rPr>
          <w:rStyle w:val="Strong"/>
          <w:b w:val="0"/>
          <w:sz w:val="22"/>
        </w:rPr>
        <w:t>qₘ</w:t>
      </w:r>
      <w:r w:rsidRPr="00956C5F">
        <w:rPr>
          <w:sz w:val="22"/>
        </w:rPr>
        <w:t xml:space="preserve"> are obtained from the intercept and slope of the </w:t>
      </w:r>
      <w:r w:rsidRPr="00956C5F">
        <w:rPr>
          <w:rStyle w:val="Strong"/>
          <w:b w:val="0"/>
          <w:sz w:val="22"/>
        </w:rPr>
        <w:t>Cₑ/qₑ vs. Cₑ</w:t>
      </w:r>
      <w:r w:rsidRPr="00956C5F">
        <w:rPr>
          <w:sz w:val="22"/>
        </w:rPr>
        <w:t xml:space="preserve"> plot (equation 2), while the Freundlich constants </w:t>
      </w:r>
      <w:r w:rsidRPr="00956C5F">
        <w:rPr>
          <w:rStyle w:val="Strong"/>
          <w:b w:val="0"/>
          <w:sz w:val="22"/>
        </w:rPr>
        <w:t>1/n</w:t>
      </w:r>
      <w:r w:rsidRPr="00956C5F">
        <w:rPr>
          <w:sz w:val="22"/>
        </w:rPr>
        <w:t xml:space="preserve"> and </w:t>
      </w:r>
      <w:proofErr w:type="spellStart"/>
      <w:r w:rsidRPr="00956C5F">
        <w:rPr>
          <w:rStyle w:val="Strong"/>
          <w:b w:val="0"/>
          <w:sz w:val="22"/>
        </w:rPr>
        <w:t>Kf</w:t>
      </w:r>
      <w:proofErr w:type="spellEnd"/>
      <w:r w:rsidRPr="00956C5F">
        <w:rPr>
          <w:sz w:val="22"/>
        </w:rPr>
        <w:t xml:space="preserve"> are determined from the slope and intercept of the </w:t>
      </w:r>
      <w:r w:rsidRPr="00956C5F">
        <w:rPr>
          <w:rStyle w:val="Strong"/>
          <w:b w:val="0"/>
          <w:sz w:val="22"/>
        </w:rPr>
        <w:t>log qₑ vs. log Cₑ</w:t>
      </w:r>
      <w:r w:rsidRPr="00956C5F">
        <w:rPr>
          <w:sz w:val="22"/>
        </w:rPr>
        <w:t xml:space="preserve"> plot using equation (3).</w:t>
      </w:r>
    </w:p>
    <w:p w14:paraId="2CC0B799" w14:textId="77777777" w:rsidR="006661ED" w:rsidRPr="00956C5F" w:rsidRDefault="006661ED" w:rsidP="00956C5F">
      <w:pPr>
        <w:pStyle w:val="Heading1"/>
        <w:spacing w:after="240" w:line="360" w:lineRule="auto"/>
        <w:jc w:val="both"/>
        <w:rPr>
          <w:rFonts w:ascii="Times New Roman" w:hAnsi="Times New Roman"/>
          <w:color w:val="auto"/>
          <w:sz w:val="22"/>
          <w:szCs w:val="22"/>
        </w:rPr>
      </w:pPr>
      <w:r w:rsidRPr="00956C5F">
        <w:rPr>
          <w:rFonts w:ascii="Times New Roman" w:hAnsi="Times New Roman"/>
          <w:color w:val="auto"/>
          <w:sz w:val="22"/>
          <w:szCs w:val="22"/>
        </w:rPr>
        <w:t xml:space="preserve">Table 2 </w:t>
      </w:r>
      <w:r w:rsidR="002A6F6E" w:rsidRPr="00956C5F">
        <w:rPr>
          <w:rFonts w:ascii="Times New Roman" w:hAnsi="Times New Roman"/>
          <w:b w:val="0"/>
          <w:color w:val="auto"/>
          <w:sz w:val="22"/>
          <w:szCs w:val="22"/>
          <w:lang w:val="en-US"/>
        </w:rPr>
        <w:t>A</w:t>
      </w:r>
      <w:r w:rsidRPr="00956C5F">
        <w:rPr>
          <w:rFonts w:ascii="Times New Roman" w:hAnsi="Times New Roman"/>
          <w:b w:val="0"/>
          <w:color w:val="auto"/>
          <w:sz w:val="22"/>
          <w:szCs w:val="22"/>
        </w:rPr>
        <w:t xml:space="preserve">dsorption Equilibrium results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0"/>
        <w:gridCol w:w="900"/>
        <w:gridCol w:w="1080"/>
        <w:gridCol w:w="1530"/>
        <w:gridCol w:w="1530"/>
        <w:gridCol w:w="1440"/>
      </w:tblGrid>
      <w:tr w:rsidR="006661ED" w:rsidRPr="00956C5F" w14:paraId="4A67C5E1" w14:textId="77777777" w:rsidTr="00D818CC">
        <w:tc>
          <w:tcPr>
            <w:tcW w:w="630" w:type="dxa"/>
          </w:tcPr>
          <w:p w14:paraId="785025CC"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pH</w:t>
            </w:r>
          </w:p>
        </w:tc>
        <w:tc>
          <w:tcPr>
            <w:tcW w:w="630" w:type="dxa"/>
          </w:tcPr>
          <w:p w14:paraId="35C6EC4F"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c</w:t>
            </w:r>
            <w:r w:rsidRPr="00956C5F">
              <w:rPr>
                <w:bCs/>
                <w:sz w:val="22"/>
                <w:vertAlign w:val="subscript"/>
              </w:rPr>
              <w:t>o</w:t>
            </w:r>
          </w:p>
        </w:tc>
        <w:tc>
          <w:tcPr>
            <w:tcW w:w="900" w:type="dxa"/>
          </w:tcPr>
          <w:p w14:paraId="2B646D70" w14:textId="77777777" w:rsidR="006661ED" w:rsidRPr="00956C5F" w:rsidRDefault="006661ED" w:rsidP="00956C5F">
            <w:pPr>
              <w:autoSpaceDE w:val="0"/>
              <w:autoSpaceDN w:val="0"/>
              <w:adjustRightInd w:val="0"/>
              <w:spacing w:after="0" w:line="360" w:lineRule="auto"/>
              <w:jc w:val="both"/>
              <w:rPr>
                <w:bCs/>
                <w:sz w:val="22"/>
              </w:rPr>
            </w:pPr>
            <w:proofErr w:type="spellStart"/>
            <w:r w:rsidRPr="00956C5F">
              <w:rPr>
                <w:bCs/>
                <w:sz w:val="22"/>
              </w:rPr>
              <w:t>c</w:t>
            </w:r>
            <w:r w:rsidRPr="00956C5F">
              <w:rPr>
                <w:bCs/>
                <w:sz w:val="22"/>
                <w:vertAlign w:val="subscript"/>
              </w:rPr>
              <w:t>e</w:t>
            </w:r>
            <w:proofErr w:type="spellEnd"/>
          </w:p>
        </w:tc>
        <w:tc>
          <w:tcPr>
            <w:tcW w:w="1080" w:type="dxa"/>
          </w:tcPr>
          <w:p w14:paraId="46C73A41" w14:textId="77777777" w:rsidR="006661ED" w:rsidRPr="00956C5F" w:rsidRDefault="006661ED" w:rsidP="00956C5F">
            <w:pPr>
              <w:autoSpaceDE w:val="0"/>
              <w:autoSpaceDN w:val="0"/>
              <w:adjustRightInd w:val="0"/>
              <w:spacing w:after="0" w:line="360" w:lineRule="auto"/>
              <w:jc w:val="both"/>
              <w:rPr>
                <w:bCs/>
                <w:sz w:val="22"/>
              </w:rPr>
            </w:pPr>
            <w:proofErr w:type="spellStart"/>
            <w:r w:rsidRPr="00956C5F">
              <w:rPr>
                <w:bCs/>
                <w:sz w:val="22"/>
              </w:rPr>
              <w:t>q</w:t>
            </w:r>
            <w:r w:rsidRPr="00956C5F">
              <w:rPr>
                <w:bCs/>
                <w:sz w:val="22"/>
                <w:vertAlign w:val="subscript"/>
              </w:rPr>
              <w:t>e</w:t>
            </w:r>
            <w:proofErr w:type="spellEnd"/>
          </w:p>
        </w:tc>
        <w:tc>
          <w:tcPr>
            <w:tcW w:w="1530" w:type="dxa"/>
          </w:tcPr>
          <w:tbl>
            <w:tblPr>
              <w:tblW w:w="0" w:type="auto"/>
              <w:tblBorders>
                <w:top w:val="nil"/>
                <w:left w:val="nil"/>
                <w:bottom w:val="nil"/>
                <w:right w:val="nil"/>
              </w:tblBorders>
              <w:tblLook w:val="0000" w:firstRow="0" w:lastRow="0" w:firstColumn="0" w:lastColumn="0" w:noHBand="0" w:noVBand="0"/>
            </w:tblPr>
            <w:tblGrid>
              <w:gridCol w:w="693"/>
            </w:tblGrid>
            <w:tr w:rsidR="006661ED" w:rsidRPr="00956C5F" w14:paraId="3940ECBB" w14:textId="77777777" w:rsidTr="003720F4">
              <w:trPr>
                <w:trHeight w:val="134"/>
              </w:trPr>
              <w:tc>
                <w:tcPr>
                  <w:tcW w:w="0" w:type="auto"/>
                </w:tcPr>
                <w:p w14:paraId="64129DE9" w14:textId="77777777" w:rsidR="006661ED" w:rsidRPr="00956C5F" w:rsidRDefault="006661ED" w:rsidP="00956C5F">
                  <w:pPr>
                    <w:autoSpaceDE w:val="0"/>
                    <w:autoSpaceDN w:val="0"/>
                    <w:adjustRightInd w:val="0"/>
                    <w:spacing w:after="0" w:line="360" w:lineRule="auto"/>
                    <w:jc w:val="both"/>
                    <w:rPr>
                      <w:sz w:val="22"/>
                    </w:rPr>
                  </w:pPr>
                  <w:proofErr w:type="spellStart"/>
                  <w:r w:rsidRPr="00956C5F">
                    <w:rPr>
                      <w:b/>
                      <w:bCs/>
                      <w:sz w:val="22"/>
                    </w:rPr>
                    <w:t>ce</w:t>
                  </w:r>
                  <w:proofErr w:type="spellEnd"/>
                  <w:r w:rsidRPr="00956C5F">
                    <w:rPr>
                      <w:b/>
                      <w:bCs/>
                      <w:sz w:val="22"/>
                    </w:rPr>
                    <w:t>/</w:t>
                  </w:r>
                  <w:proofErr w:type="spellStart"/>
                  <w:r w:rsidRPr="00956C5F">
                    <w:rPr>
                      <w:b/>
                      <w:bCs/>
                      <w:sz w:val="22"/>
                    </w:rPr>
                    <w:t>qe</w:t>
                  </w:r>
                  <w:proofErr w:type="spellEnd"/>
                  <w:r w:rsidRPr="00956C5F">
                    <w:rPr>
                      <w:b/>
                      <w:bCs/>
                      <w:sz w:val="22"/>
                    </w:rPr>
                    <w:t xml:space="preserve"> </w:t>
                  </w:r>
                </w:p>
              </w:tc>
            </w:tr>
          </w:tbl>
          <w:p w14:paraId="0AC689CB" w14:textId="77777777" w:rsidR="006661ED" w:rsidRPr="00956C5F" w:rsidRDefault="006661ED" w:rsidP="00956C5F">
            <w:pPr>
              <w:autoSpaceDE w:val="0"/>
              <w:autoSpaceDN w:val="0"/>
              <w:adjustRightInd w:val="0"/>
              <w:spacing w:after="0" w:line="360" w:lineRule="auto"/>
              <w:jc w:val="both"/>
              <w:rPr>
                <w:bCs/>
                <w:sz w:val="22"/>
              </w:rPr>
            </w:pPr>
          </w:p>
        </w:tc>
        <w:tc>
          <w:tcPr>
            <w:tcW w:w="1530" w:type="dxa"/>
          </w:tcPr>
          <w:p w14:paraId="7DA0EBA3" w14:textId="77777777" w:rsidR="006661ED" w:rsidRPr="00956C5F" w:rsidRDefault="006661ED" w:rsidP="00956C5F">
            <w:pPr>
              <w:autoSpaceDE w:val="0"/>
              <w:autoSpaceDN w:val="0"/>
              <w:adjustRightInd w:val="0"/>
              <w:spacing w:after="0" w:line="360" w:lineRule="auto"/>
              <w:jc w:val="both"/>
              <w:rPr>
                <w:bCs/>
                <w:sz w:val="22"/>
              </w:rPr>
            </w:pPr>
            <w:proofErr w:type="spellStart"/>
            <w:r w:rsidRPr="00956C5F">
              <w:rPr>
                <w:bCs/>
                <w:sz w:val="22"/>
              </w:rPr>
              <w:t>lnce</w:t>
            </w:r>
            <w:proofErr w:type="spellEnd"/>
          </w:p>
        </w:tc>
        <w:tc>
          <w:tcPr>
            <w:tcW w:w="1440" w:type="dxa"/>
          </w:tcPr>
          <w:p w14:paraId="217CC394" w14:textId="77777777" w:rsidR="006661ED" w:rsidRPr="00956C5F" w:rsidRDefault="00817ECD" w:rsidP="00956C5F">
            <w:pPr>
              <w:autoSpaceDE w:val="0"/>
              <w:autoSpaceDN w:val="0"/>
              <w:adjustRightInd w:val="0"/>
              <w:spacing w:after="0" w:line="360" w:lineRule="auto"/>
              <w:jc w:val="both"/>
              <w:rPr>
                <w:bCs/>
                <w:sz w:val="22"/>
              </w:rPr>
            </w:pPr>
            <w:proofErr w:type="spellStart"/>
            <w:r w:rsidRPr="00956C5F">
              <w:rPr>
                <w:bCs/>
                <w:sz w:val="22"/>
              </w:rPr>
              <w:t>L</w:t>
            </w:r>
            <w:r w:rsidR="006661ED" w:rsidRPr="00956C5F">
              <w:rPr>
                <w:bCs/>
                <w:sz w:val="22"/>
              </w:rPr>
              <w:t>nqe</w:t>
            </w:r>
            <w:proofErr w:type="spellEnd"/>
          </w:p>
        </w:tc>
      </w:tr>
      <w:tr w:rsidR="006661ED" w:rsidRPr="00956C5F" w14:paraId="219FA2D4" w14:textId="77777777" w:rsidTr="00D818CC">
        <w:tc>
          <w:tcPr>
            <w:tcW w:w="630" w:type="dxa"/>
          </w:tcPr>
          <w:p w14:paraId="0A1F1CA9"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4</w:t>
            </w:r>
          </w:p>
        </w:tc>
        <w:tc>
          <w:tcPr>
            <w:tcW w:w="630" w:type="dxa"/>
          </w:tcPr>
          <w:p w14:paraId="669B43A7"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20</w:t>
            </w:r>
          </w:p>
        </w:tc>
        <w:tc>
          <w:tcPr>
            <w:tcW w:w="900" w:type="dxa"/>
          </w:tcPr>
          <w:p w14:paraId="6D7F49B6"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5.12</w:t>
            </w:r>
          </w:p>
        </w:tc>
        <w:tc>
          <w:tcPr>
            <w:tcW w:w="1080" w:type="dxa"/>
          </w:tcPr>
          <w:p w14:paraId="473BC879"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14.88</w:t>
            </w:r>
          </w:p>
        </w:tc>
        <w:tc>
          <w:tcPr>
            <w:tcW w:w="1530" w:type="dxa"/>
          </w:tcPr>
          <w:p w14:paraId="5B869F73"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0.34408602</w:t>
            </w:r>
          </w:p>
        </w:tc>
        <w:tc>
          <w:tcPr>
            <w:tcW w:w="1530" w:type="dxa"/>
          </w:tcPr>
          <w:p w14:paraId="569FE248"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1.63315444</w:t>
            </w:r>
          </w:p>
        </w:tc>
        <w:tc>
          <w:tcPr>
            <w:tcW w:w="1440" w:type="dxa"/>
          </w:tcPr>
          <w:p w14:paraId="4EB8C663"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2.7001803</w:t>
            </w:r>
          </w:p>
        </w:tc>
      </w:tr>
      <w:tr w:rsidR="006661ED" w:rsidRPr="00956C5F" w14:paraId="5DC76153" w14:textId="77777777" w:rsidTr="00D818CC">
        <w:tc>
          <w:tcPr>
            <w:tcW w:w="630" w:type="dxa"/>
          </w:tcPr>
          <w:p w14:paraId="043650D9"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5</w:t>
            </w:r>
          </w:p>
        </w:tc>
        <w:tc>
          <w:tcPr>
            <w:tcW w:w="630" w:type="dxa"/>
          </w:tcPr>
          <w:p w14:paraId="32C8404B"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20</w:t>
            </w:r>
          </w:p>
        </w:tc>
        <w:tc>
          <w:tcPr>
            <w:tcW w:w="900" w:type="dxa"/>
          </w:tcPr>
          <w:p w14:paraId="47573E35"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2.29</w:t>
            </w:r>
          </w:p>
        </w:tc>
        <w:tc>
          <w:tcPr>
            <w:tcW w:w="1080" w:type="dxa"/>
          </w:tcPr>
          <w:p w14:paraId="78FA6399"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17.71</w:t>
            </w:r>
          </w:p>
        </w:tc>
        <w:tc>
          <w:tcPr>
            <w:tcW w:w="1530" w:type="dxa"/>
          </w:tcPr>
          <w:p w14:paraId="38CBD773"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0.1230548</w:t>
            </w:r>
          </w:p>
        </w:tc>
        <w:tc>
          <w:tcPr>
            <w:tcW w:w="1530" w:type="dxa"/>
          </w:tcPr>
          <w:p w14:paraId="7F151BC8"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0.82855182</w:t>
            </w:r>
          </w:p>
        </w:tc>
        <w:tc>
          <w:tcPr>
            <w:tcW w:w="1440" w:type="dxa"/>
          </w:tcPr>
          <w:p w14:paraId="67D7D305"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2.87412945</w:t>
            </w:r>
          </w:p>
        </w:tc>
      </w:tr>
      <w:tr w:rsidR="006661ED" w:rsidRPr="00956C5F" w14:paraId="57878DEF" w14:textId="77777777" w:rsidTr="00D818CC">
        <w:tc>
          <w:tcPr>
            <w:tcW w:w="630" w:type="dxa"/>
          </w:tcPr>
          <w:p w14:paraId="44ED8651"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6</w:t>
            </w:r>
          </w:p>
        </w:tc>
        <w:tc>
          <w:tcPr>
            <w:tcW w:w="630" w:type="dxa"/>
          </w:tcPr>
          <w:p w14:paraId="6746B11B"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20</w:t>
            </w:r>
          </w:p>
        </w:tc>
        <w:tc>
          <w:tcPr>
            <w:tcW w:w="900" w:type="dxa"/>
          </w:tcPr>
          <w:p w14:paraId="1E05574A"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0.37</w:t>
            </w:r>
          </w:p>
        </w:tc>
        <w:tc>
          <w:tcPr>
            <w:tcW w:w="1080" w:type="dxa"/>
          </w:tcPr>
          <w:p w14:paraId="4DF27CBC"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19.63</w:t>
            </w:r>
          </w:p>
        </w:tc>
        <w:tc>
          <w:tcPr>
            <w:tcW w:w="1530" w:type="dxa"/>
          </w:tcPr>
          <w:p w14:paraId="6AA823BE"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0.0188487</w:t>
            </w:r>
          </w:p>
        </w:tc>
        <w:tc>
          <w:tcPr>
            <w:tcW w:w="1530" w:type="dxa"/>
          </w:tcPr>
          <w:p w14:paraId="4F701BFF"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-0.9942523</w:t>
            </w:r>
          </w:p>
        </w:tc>
        <w:tc>
          <w:tcPr>
            <w:tcW w:w="1440" w:type="dxa"/>
          </w:tcPr>
          <w:p w14:paraId="1AEED5AA"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2.99705901</w:t>
            </w:r>
          </w:p>
        </w:tc>
      </w:tr>
    </w:tbl>
    <w:p w14:paraId="065CE5FD" w14:textId="77777777" w:rsidR="006661ED" w:rsidRPr="00425AA6" w:rsidRDefault="007B086B" w:rsidP="00956C5F">
      <w:pPr>
        <w:pStyle w:val="Heading3"/>
        <w:spacing w:line="360" w:lineRule="auto"/>
        <w:jc w:val="both"/>
        <w:rPr>
          <w:rFonts w:ascii="Times New Roman" w:hAnsi="Times New Roman"/>
          <w:i/>
          <w:iCs/>
          <w:color w:val="auto"/>
          <w:sz w:val="22"/>
          <w:szCs w:val="22"/>
        </w:rPr>
      </w:pPr>
      <w:bookmarkStart w:id="36" w:name="_Toc502677848"/>
      <w:r w:rsidRPr="00425AA6">
        <w:rPr>
          <w:rFonts w:ascii="Times New Roman" w:hAnsi="Times New Roman"/>
          <w:i/>
          <w:iCs/>
          <w:color w:val="auto"/>
          <w:sz w:val="22"/>
          <w:szCs w:val="22"/>
          <w:lang w:val="en-US"/>
        </w:rPr>
        <w:lastRenderedPageBreak/>
        <w:t>3</w:t>
      </w:r>
      <w:r w:rsidR="006661ED" w:rsidRPr="00425AA6">
        <w:rPr>
          <w:rFonts w:ascii="Times New Roman" w:hAnsi="Times New Roman"/>
          <w:i/>
          <w:iCs/>
          <w:color w:val="auto"/>
          <w:sz w:val="22"/>
          <w:szCs w:val="22"/>
        </w:rPr>
        <w:t>.</w:t>
      </w:r>
      <w:r w:rsidR="00DE5E01" w:rsidRPr="00425AA6">
        <w:rPr>
          <w:rFonts w:ascii="Times New Roman" w:hAnsi="Times New Roman"/>
          <w:i/>
          <w:iCs/>
          <w:color w:val="auto"/>
          <w:sz w:val="22"/>
          <w:szCs w:val="22"/>
          <w:lang w:val="en-US"/>
        </w:rPr>
        <w:t>3.1</w:t>
      </w:r>
      <w:r w:rsidR="006661ED" w:rsidRPr="00425AA6">
        <w:rPr>
          <w:rFonts w:ascii="Times New Roman" w:hAnsi="Times New Roman"/>
          <w:i/>
          <w:iCs/>
          <w:color w:val="auto"/>
          <w:sz w:val="22"/>
          <w:szCs w:val="22"/>
        </w:rPr>
        <w:t xml:space="preserve"> Langmuir isotherm model.</w:t>
      </w:r>
      <w:bookmarkEnd w:id="36"/>
    </w:p>
    <w:p w14:paraId="34EFDE6C" w14:textId="77777777" w:rsidR="006661ED" w:rsidRPr="00956C5F" w:rsidRDefault="006661ED" w:rsidP="00956C5F">
      <w:pPr>
        <w:autoSpaceDE w:val="0"/>
        <w:autoSpaceDN w:val="0"/>
        <w:adjustRightInd w:val="0"/>
        <w:spacing w:line="360" w:lineRule="auto"/>
        <w:jc w:val="both"/>
        <w:rPr>
          <w:sz w:val="22"/>
          <w:shd w:val="clear" w:color="auto" w:fill="FFFFFF"/>
        </w:rPr>
      </w:pPr>
      <w:r w:rsidRPr="00956C5F">
        <w:rPr>
          <w:sz w:val="22"/>
        </w:rPr>
        <w:t xml:space="preserve">The equilibrium adsorption isotherm is one of the most important ways for characterizing adsorbent. In this study, the Langmuir and Freundlich isotherm equations are used to interpret the mechanism of adsorption .A plot of  </w:t>
      </w:r>
      <m:oMath>
        <m:f>
          <m:fPr>
            <m:ctrlPr>
              <w:rPr>
                <w:rFonts w:ascii="Cambria Math" w:hAnsi="Cambria Math"/>
                <w:i/>
                <w:sz w:val="22"/>
              </w:rPr>
            </m:ctrlPr>
          </m:fPr>
          <m:num>
            <m:r>
              <w:rPr>
                <w:rFonts w:ascii="Cambria Math" w:hAnsi="Cambria Math"/>
                <w:sz w:val="22"/>
              </w:rPr>
              <m:t>ce</m:t>
            </m:r>
          </m:num>
          <m:den>
            <m:r>
              <w:rPr>
                <w:rFonts w:ascii="Cambria Math" w:hAnsi="Cambria Math"/>
                <w:sz w:val="22"/>
              </w:rPr>
              <m:t>qe</m:t>
            </m:r>
          </m:den>
        </m:f>
      </m:oMath>
      <w:r w:rsidRPr="00956C5F">
        <w:rPr>
          <w:sz w:val="22"/>
        </w:rPr>
        <w:t xml:space="preserve"> versus (Ce) for chromium adsorption onto powdered</w:t>
      </w:r>
      <w:r w:rsidR="00C24A04" w:rsidRPr="00956C5F">
        <w:rPr>
          <w:sz w:val="22"/>
        </w:rPr>
        <w:t xml:space="preserve"> is presented in the </w:t>
      </w:r>
      <w:r w:rsidR="006E60B0" w:rsidRPr="00956C5F">
        <w:rPr>
          <w:b/>
          <w:sz w:val="22"/>
        </w:rPr>
        <w:t>F</w:t>
      </w:r>
      <w:r w:rsidR="00C24A04" w:rsidRPr="00956C5F">
        <w:rPr>
          <w:b/>
          <w:sz w:val="22"/>
        </w:rPr>
        <w:t>igure</w:t>
      </w:r>
      <w:r w:rsidR="006E60B0" w:rsidRPr="00956C5F">
        <w:rPr>
          <w:b/>
          <w:sz w:val="22"/>
        </w:rPr>
        <w:t xml:space="preserve"> 1</w:t>
      </w:r>
      <w:r w:rsidR="00D818CC" w:rsidRPr="00956C5F">
        <w:rPr>
          <w:b/>
          <w:sz w:val="22"/>
        </w:rPr>
        <w:t>2</w:t>
      </w:r>
      <w:r w:rsidR="002A6F6E" w:rsidRPr="00956C5F">
        <w:rPr>
          <w:b/>
          <w:sz w:val="22"/>
        </w:rPr>
        <w:t xml:space="preserve"> &amp; Table </w:t>
      </w:r>
      <w:r w:rsidR="002C23D7" w:rsidRPr="00956C5F">
        <w:rPr>
          <w:b/>
          <w:sz w:val="22"/>
        </w:rPr>
        <w:t>2</w:t>
      </w:r>
      <w:r w:rsidR="006E60B0" w:rsidRPr="00956C5F">
        <w:rPr>
          <w:sz w:val="22"/>
        </w:rPr>
        <w:t xml:space="preserve"> &amp; </w:t>
      </w:r>
      <w:r w:rsidR="006E60B0" w:rsidRPr="00956C5F">
        <w:rPr>
          <w:b/>
          <w:sz w:val="22"/>
        </w:rPr>
        <w:t>3</w:t>
      </w:r>
      <w:r w:rsidR="00C24A04" w:rsidRPr="00956C5F">
        <w:rPr>
          <w:sz w:val="22"/>
        </w:rPr>
        <w:t xml:space="preserve"> </w:t>
      </w:r>
      <w:r w:rsidR="006E60B0" w:rsidRPr="00956C5F">
        <w:rPr>
          <w:sz w:val="22"/>
        </w:rPr>
        <w:t>.</w:t>
      </w:r>
      <w:r w:rsidR="00C24A04" w:rsidRPr="00956C5F">
        <w:rPr>
          <w:sz w:val="22"/>
        </w:rPr>
        <w:t xml:space="preserve">The Langmuir </w:t>
      </w:r>
      <w:proofErr w:type="spellStart"/>
      <w:r w:rsidR="00C24A04" w:rsidRPr="00956C5F">
        <w:rPr>
          <w:sz w:val="22"/>
        </w:rPr>
        <w:t>sotherm</w:t>
      </w:r>
      <w:proofErr w:type="spellEnd"/>
      <w:r w:rsidR="00C24A04" w:rsidRPr="00956C5F">
        <w:rPr>
          <w:sz w:val="22"/>
        </w:rPr>
        <w:t xml:space="preserve"> parameters b and </w:t>
      </w:r>
      <w:proofErr w:type="spellStart"/>
      <w:r w:rsidR="00C24A04" w:rsidRPr="00956C5F">
        <w:rPr>
          <w:sz w:val="22"/>
        </w:rPr>
        <w:t>qm</w:t>
      </w:r>
      <w:proofErr w:type="spellEnd"/>
      <w:r w:rsidR="00C24A04" w:rsidRPr="00956C5F">
        <w:rPr>
          <w:sz w:val="22"/>
        </w:rPr>
        <w:t xml:space="preserve"> were determined from the intercept and the slope of Ce/</w:t>
      </w:r>
      <w:proofErr w:type="spellStart"/>
      <w:r w:rsidR="00C24A04" w:rsidRPr="00956C5F">
        <w:rPr>
          <w:sz w:val="22"/>
        </w:rPr>
        <w:t>qe</w:t>
      </w:r>
      <w:proofErr w:type="spellEnd"/>
      <w:r w:rsidR="00C24A04" w:rsidRPr="00956C5F">
        <w:rPr>
          <w:sz w:val="22"/>
        </w:rPr>
        <w:t xml:space="preserve"> versus Ce graph</w:t>
      </w:r>
      <w:r w:rsidRPr="00956C5F">
        <w:rPr>
          <w:sz w:val="22"/>
        </w:rPr>
        <w:t>. The R</w:t>
      </w:r>
      <w:r w:rsidRPr="00956C5F">
        <w:rPr>
          <w:sz w:val="22"/>
          <w:vertAlign w:val="superscript"/>
        </w:rPr>
        <w:t xml:space="preserve">2 </w:t>
      </w:r>
      <w:r w:rsidRPr="00956C5F">
        <w:rPr>
          <w:sz w:val="22"/>
        </w:rPr>
        <w:t>value of 0.9911 indicated that the adsorption data of chromium onto powdered marble best fitted the Langmuir isotherm model.</w:t>
      </w:r>
      <w:r w:rsidRPr="00956C5F">
        <w:rPr>
          <w:sz w:val="22"/>
          <w:shd w:val="clear" w:color="auto" w:fill="FFFFFF"/>
        </w:rPr>
        <w:t xml:space="preserve"> The essential features of Langmuir adsorption isotherm parameter can be used to predict the affinity between the sorbate and sorbent using a dimensionless constant called separation factor or equilibrium parameter (RL), which is expressed by the following </w:t>
      </w:r>
      <w:r w:rsidR="00774C87" w:rsidRPr="00956C5F">
        <w:rPr>
          <w:sz w:val="22"/>
          <w:shd w:val="clear" w:color="auto" w:fill="FFFFFF"/>
        </w:rPr>
        <w:t>equation 4.</w:t>
      </w:r>
    </w:p>
    <w:p w14:paraId="7134A1F5" w14:textId="77777777" w:rsidR="006661ED" w:rsidRPr="00956C5F" w:rsidRDefault="006661ED" w:rsidP="00956C5F">
      <w:pPr>
        <w:autoSpaceDE w:val="0"/>
        <w:autoSpaceDN w:val="0"/>
        <w:adjustRightInd w:val="0"/>
        <w:spacing w:line="360" w:lineRule="auto"/>
        <w:jc w:val="both"/>
        <w:rPr>
          <w:sz w:val="22"/>
          <w:shd w:val="clear" w:color="auto" w:fill="FFFFFF"/>
        </w:rPr>
      </w:pPr>
      <w:r w:rsidRPr="00956C5F">
        <w:rPr>
          <w:sz w:val="22"/>
          <w:shd w:val="clear" w:color="auto" w:fill="FFFFFF"/>
        </w:rPr>
        <w:t>RL=</w:t>
      </w:r>
      <m:oMath>
        <m:r>
          <w:rPr>
            <w:rFonts w:ascii="Cambria Math" w:hAnsi="Cambria Math"/>
            <w:sz w:val="22"/>
            <w:shd w:val="clear" w:color="auto" w:fill="FFFFFF"/>
          </w:rPr>
          <m:t xml:space="preserve">  </m:t>
        </m:r>
        <m:f>
          <m:fPr>
            <m:ctrlPr>
              <w:rPr>
                <w:rFonts w:ascii="Cambria Math" w:hAnsi="Cambria Math"/>
                <w:i/>
                <w:sz w:val="22"/>
                <w:shd w:val="clear" w:color="auto" w:fill="FFFFFF"/>
              </w:rPr>
            </m:ctrlPr>
          </m:fPr>
          <m:num>
            <m:r>
              <w:rPr>
                <w:rFonts w:ascii="Cambria Math" w:hAnsi="Cambria Math"/>
                <w:sz w:val="22"/>
                <w:shd w:val="clear" w:color="auto" w:fill="FFFFFF"/>
              </w:rPr>
              <m:t>1</m:t>
            </m:r>
          </m:num>
          <m:den>
            <m:r>
              <w:rPr>
                <w:rFonts w:ascii="Cambria Math" w:hAnsi="Cambria Math"/>
                <w:sz w:val="22"/>
                <w:shd w:val="clear" w:color="auto" w:fill="FFFFFF"/>
              </w:rPr>
              <m:t>(1+bci)</m:t>
            </m:r>
          </m:den>
        </m:f>
      </m:oMath>
      <w:r w:rsidR="00774C87" w:rsidRPr="00956C5F">
        <w:rPr>
          <w:sz w:val="22"/>
          <w:shd w:val="clear" w:color="auto" w:fill="FFFFFF"/>
        </w:rPr>
        <w:t xml:space="preserve">      </w:t>
      </w:r>
      <w:r w:rsidR="00774C87" w:rsidRPr="00956C5F">
        <w:rPr>
          <w:rFonts w:ascii="Cambria Math" w:hAnsi="Cambria Math"/>
          <w:i/>
          <w:sz w:val="22"/>
        </w:rPr>
        <w:t xml:space="preserve">------------------------------------------------------------------------------------------ </w:t>
      </w:r>
      <w:r w:rsidR="00774C87" w:rsidRPr="00956C5F">
        <w:rPr>
          <w:sz w:val="22"/>
          <w:shd w:val="clear" w:color="auto" w:fill="FFFFFF"/>
        </w:rPr>
        <w:t>(4)</w:t>
      </w:r>
    </w:p>
    <w:p w14:paraId="0B363436" w14:textId="77777777" w:rsidR="006661ED" w:rsidRPr="00956C5F" w:rsidRDefault="006661ED" w:rsidP="00956C5F">
      <w:pPr>
        <w:autoSpaceDE w:val="0"/>
        <w:autoSpaceDN w:val="0"/>
        <w:adjustRightInd w:val="0"/>
        <w:spacing w:after="0" w:line="360" w:lineRule="auto"/>
        <w:jc w:val="both"/>
        <w:rPr>
          <w:sz w:val="22"/>
          <w:shd w:val="clear" w:color="auto" w:fill="FFFFFF"/>
        </w:rPr>
      </w:pPr>
      <w:r w:rsidRPr="00956C5F">
        <w:rPr>
          <w:sz w:val="22"/>
          <w:shd w:val="clear" w:color="auto" w:fill="FFFFFF"/>
        </w:rPr>
        <w:t xml:space="preserve">Where b is the Langmuir constant and ci is the initial concentration. The value of indicated the type of Langmuir isotherm to be irreversible RL=0, linear RL=1, unfavorable RL&gt;1, </w:t>
      </w:r>
      <w:r w:rsidR="00774C87" w:rsidRPr="00956C5F">
        <w:rPr>
          <w:sz w:val="22"/>
          <w:shd w:val="clear" w:color="auto" w:fill="FFFFFF"/>
        </w:rPr>
        <w:t>and</w:t>
      </w:r>
      <w:r w:rsidRPr="00956C5F">
        <w:rPr>
          <w:sz w:val="22"/>
          <w:shd w:val="clear" w:color="auto" w:fill="FFFFFF"/>
        </w:rPr>
        <w:t xml:space="preserve"> favorable 0&lt; RL&gt;1</w:t>
      </w:r>
      <w:r w:rsidRPr="00956C5F">
        <w:rPr>
          <w:sz w:val="22"/>
          <w:shd w:val="clear" w:color="auto" w:fill="FFFFFF"/>
        </w:rPr>
        <w:fldChar w:fldCharType="begin"/>
      </w:r>
      <w:r w:rsidRPr="00956C5F">
        <w:rPr>
          <w:sz w:val="22"/>
          <w:shd w:val="clear" w:color="auto" w:fill="FFFFFF"/>
        </w:rPr>
        <w:instrText xml:space="preserve"> ADDIN EN.CITE &lt;EndNote&gt;&lt;Cite&gt;&lt;Author&gt;Bhatti&lt;/Author&gt;&lt;Year&gt;2017&lt;/Year&gt;&lt;RecNum&gt;90&lt;/RecNum&gt;&lt;DisplayText&gt;(Bhatti, Oguz, &amp;amp; Yilmaz, 2017)&lt;/DisplayText&gt;&lt;record&gt;&lt;rec-number&gt;90&lt;/rec-number&gt;&lt;foreign-keys&gt;&lt;key app="EN" db-id="502dfepz89ep2ues9pfptderdf5005vpr250" timestamp="1513266494"&gt;90&lt;/key&gt;&lt;/foreign-keys&gt;&lt;ref-type name="Journal Article"&gt;17&lt;/ref-type&gt;&lt;contributors&gt;&lt;authors&gt;&lt;author&gt;Bhatti, Asif Ali&lt;/author&gt;&lt;author&gt;Oguz, Mehmet&lt;/author&gt;&lt;author&gt;Yilmaz, Mustafa&lt;/author&gt;&lt;/authors&gt;&lt;/contributors&gt;&lt;titles&gt;&lt;title&gt;Magnetizing Calixarene: Azo Dye Removal from Aqueous Media by Fe3O4 Nanoparticles Fabricated with Carboxylic-Substituted Calix [4] arene&lt;/title&gt;&lt;secondary-title&gt;Journal of Chemical &amp;amp; Engineering Data&lt;/secondary-title&gt;&lt;/titles&gt;&lt;periodical&gt;&lt;full-title&gt;Journal of Chemical &amp;amp; Engineering Data&lt;/full-title&gt;&lt;/periodical&gt;&lt;dates&gt;&lt;year&gt;2017&lt;/year&gt;&lt;/dates&gt;&lt;isbn&gt;0021-9568&lt;/isbn&gt;&lt;urls&gt;&lt;/urls&gt;&lt;/record&gt;&lt;/Cite&gt;&lt;/EndNote&gt;</w:instrText>
      </w:r>
      <w:r w:rsidRPr="00956C5F">
        <w:rPr>
          <w:sz w:val="22"/>
          <w:shd w:val="clear" w:color="auto" w:fill="FFFFFF"/>
        </w:rPr>
        <w:fldChar w:fldCharType="separate"/>
      </w:r>
      <w:r w:rsidRPr="00956C5F">
        <w:rPr>
          <w:noProof/>
          <w:sz w:val="22"/>
          <w:shd w:val="clear" w:color="auto" w:fill="FFFFFF"/>
        </w:rPr>
        <w:t>(Bhatti</w:t>
      </w:r>
      <w:r w:rsidR="00C24A04" w:rsidRPr="00956C5F">
        <w:rPr>
          <w:i/>
          <w:noProof/>
          <w:sz w:val="22"/>
          <w:shd w:val="clear" w:color="auto" w:fill="FFFFFF"/>
        </w:rPr>
        <w:t xml:space="preserve"> et al.,</w:t>
      </w:r>
      <w:r w:rsidRPr="00956C5F">
        <w:rPr>
          <w:noProof/>
          <w:sz w:val="22"/>
          <w:shd w:val="clear" w:color="auto" w:fill="FFFFFF"/>
        </w:rPr>
        <w:t xml:space="preserve"> 2017)</w:t>
      </w:r>
      <w:r w:rsidRPr="00956C5F">
        <w:rPr>
          <w:sz w:val="22"/>
          <w:shd w:val="clear" w:color="auto" w:fill="FFFFFF"/>
        </w:rPr>
        <w:fldChar w:fldCharType="end"/>
      </w:r>
      <w:r w:rsidRPr="00956C5F">
        <w:rPr>
          <w:sz w:val="22"/>
          <w:shd w:val="clear" w:color="auto" w:fill="FFFFFF"/>
        </w:rPr>
        <w:t>.</w:t>
      </w:r>
    </w:p>
    <w:p w14:paraId="397DA700" w14:textId="77777777" w:rsidR="006661ED" w:rsidRPr="00956C5F" w:rsidRDefault="006661ED" w:rsidP="00956C5F">
      <w:pPr>
        <w:autoSpaceDE w:val="0"/>
        <w:autoSpaceDN w:val="0"/>
        <w:adjustRightInd w:val="0"/>
        <w:spacing w:after="0" w:line="360" w:lineRule="auto"/>
        <w:rPr>
          <w:sz w:val="22"/>
        </w:rPr>
      </w:pPr>
    </w:p>
    <w:p w14:paraId="247C8B5C" w14:textId="77777777" w:rsidR="006661ED" w:rsidRPr="00956C5F" w:rsidRDefault="006661ED" w:rsidP="00956C5F">
      <w:pPr>
        <w:autoSpaceDE w:val="0"/>
        <w:autoSpaceDN w:val="0"/>
        <w:adjustRightInd w:val="0"/>
        <w:spacing w:after="0" w:line="360" w:lineRule="auto"/>
        <w:jc w:val="both"/>
        <w:rPr>
          <w:bCs/>
          <w:sz w:val="22"/>
        </w:rPr>
      </w:pPr>
      <w:r w:rsidRPr="00956C5F">
        <w:rPr>
          <w:noProof/>
          <w:sz w:val="22"/>
        </w:rPr>
        <w:drawing>
          <wp:inline distT="0" distB="0" distL="0" distR="0" wp14:anchorId="44EE458B" wp14:editId="03EEB513">
            <wp:extent cx="4469642" cy="2231409"/>
            <wp:effectExtent l="0" t="0" r="26670" b="1651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FB1286" w14:textId="77777777" w:rsidR="006661ED" w:rsidRPr="00956C5F" w:rsidRDefault="006661ED" w:rsidP="00956C5F">
      <w:pPr>
        <w:autoSpaceDE w:val="0"/>
        <w:autoSpaceDN w:val="0"/>
        <w:adjustRightInd w:val="0"/>
        <w:spacing w:before="240" w:after="0" w:line="360" w:lineRule="auto"/>
        <w:jc w:val="both"/>
        <w:rPr>
          <w:bCs/>
          <w:sz w:val="22"/>
        </w:rPr>
      </w:pPr>
      <w:r w:rsidRPr="00956C5F">
        <w:rPr>
          <w:b/>
          <w:bCs/>
          <w:iCs/>
          <w:sz w:val="22"/>
        </w:rPr>
        <w:t>Figure</w:t>
      </w:r>
      <w:r w:rsidR="002C23D7" w:rsidRPr="00956C5F">
        <w:rPr>
          <w:b/>
          <w:bCs/>
          <w:iCs/>
          <w:sz w:val="22"/>
        </w:rPr>
        <w:t xml:space="preserve"> 1</w:t>
      </w:r>
      <w:r w:rsidR="00D818CC" w:rsidRPr="00956C5F">
        <w:rPr>
          <w:b/>
          <w:bCs/>
          <w:iCs/>
          <w:sz w:val="22"/>
        </w:rPr>
        <w:t>2</w:t>
      </w:r>
      <w:r w:rsidR="002C23D7" w:rsidRPr="00956C5F">
        <w:rPr>
          <w:b/>
          <w:bCs/>
          <w:iCs/>
          <w:sz w:val="22"/>
        </w:rPr>
        <w:t>.</w:t>
      </w:r>
      <w:r w:rsidRPr="00956C5F">
        <w:rPr>
          <w:b/>
          <w:bCs/>
          <w:iCs/>
          <w:sz w:val="22"/>
        </w:rPr>
        <w:t xml:space="preserve"> </w:t>
      </w:r>
      <w:r w:rsidRPr="00956C5F">
        <w:rPr>
          <w:bCs/>
          <w:iCs/>
          <w:sz w:val="22"/>
        </w:rPr>
        <w:t xml:space="preserve">Langmuir plots for the adsorption of chromium ion on powdered marble </w:t>
      </w:r>
    </w:p>
    <w:p w14:paraId="3302912C" w14:textId="77777777" w:rsidR="006661ED" w:rsidRPr="00956C5F" w:rsidRDefault="006661ED" w:rsidP="00956C5F">
      <w:pPr>
        <w:autoSpaceDE w:val="0"/>
        <w:autoSpaceDN w:val="0"/>
        <w:adjustRightInd w:val="0"/>
        <w:spacing w:after="0" w:line="360" w:lineRule="auto"/>
        <w:jc w:val="both"/>
        <w:rPr>
          <w:sz w:val="22"/>
        </w:rPr>
      </w:pPr>
    </w:p>
    <w:p w14:paraId="04880D72" w14:textId="77777777" w:rsidR="006661ED" w:rsidRPr="00956C5F" w:rsidRDefault="006661ED" w:rsidP="00956C5F">
      <w:pPr>
        <w:autoSpaceDE w:val="0"/>
        <w:autoSpaceDN w:val="0"/>
        <w:adjustRightInd w:val="0"/>
        <w:spacing w:after="0" w:line="360" w:lineRule="auto"/>
        <w:jc w:val="both"/>
        <w:rPr>
          <w:sz w:val="22"/>
        </w:rPr>
      </w:pPr>
      <w:r w:rsidRPr="00956C5F">
        <w:rPr>
          <w:sz w:val="22"/>
        </w:rPr>
        <w:t>The applicability of the linear form of Langmuir isotherm model to powdered marble was proved by the high correlation coefficient R</w:t>
      </w:r>
      <w:r w:rsidRPr="00956C5F">
        <w:rPr>
          <w:position w:val="8"/>
          <w:sz w:val="22"/>
          <w:vertAlign w:val="superscript"/>
        </w:rPr>
        <w:t>2</w:t>
      </w:r>
      <w:r w:rsidRPr="00956C5F">
        <w:rPr>
          <w:sz w:val="22"/>
        </w:rPr>
        <w:t>=0.9911. This suggests that the Langmuir isotherm provides a good model of the chromium adsorption system. The fact that Langmuir isotherm fits the experimental data very well confirms the monolayer coverage of chromium onto powdered marble.</w:t>
      </w:r>
    </w:p>
    <w:p w14:paraId="72787453" w14:textId="77777777" w:rsidR="006661ED" w:rsidRPr="00425AA6" w:rsidRDefault="007B086B" w:rsidP="00956C5F">
      <w:pPr>
        <w:pStyle w:val="Heading3"/>
        <w:spacing w:line="360" w:lineRule="auto"/>
        <w:jc w:val="both"/>
        <w:rPr>
          <w:rFonts w:ascii="Times New Roman" w:hAnsi="Times New Roman"/>
          <w:i/>
          <w:iCs/>
          <w:color w:val="auto"/>
          <w:sz w:val="22"/>
          <w:szCs w:val="22"/>
        </w:rPr>
      </w:pPr>
      <w:bookmarkStart w:id="37" w:name="_Toc502677849"/>
      <w:r w:rsidRPr="00425AA6">
        <w:rPr>
          <w:rFonts w:ascii="Times New Roman" w:hAnsi="Times New Roman"/>
          <w:i/>
          <w:iCs/>
          <w:color w:val="auto"/>
          <w:sz w:val="22"/>
          <w:szCs w:val="22"/>
          <w:lang w:val="en-US"/>
        </w:rPr>
        <w:lastRenderedPageBreak/>
        <w:t>3.</w:t>
      </w:r>
      <w:r w:rsidR="00DE5E01" w:rsidRPr="00425AA6">
        <w:rPr>
          <w:rFonts w:ascii="Times New Roman" w:hAnsi="Times New Roman"/>
          <w:i/>
          <w:iCs/>
          <w:color w:val="auto"/>
          <w:sz w:val="22"/>
          <w:szCs w:val="22"/>
          <w:lang w:val="en-US"/>
        </w:rPr>
        <w:t>3</w:t>
      </w:r>
      <w:r w:rsidRPr="00425AA6">
        <w:rPr>
          <w:rFonts w:ascii="Times New Roman" w:hAnsi="Times New Roman"/>
          <w:i/>
          <w:iCs/>
          <w:color w:val="auto"/>
          <w:sz w:val="22"/>
          <w:szCs w:val="22"/>
          <w:lang w:val="en-US"/>
        </w:rPr>
        <w:t>.</w:t>
      </w:r>
      <w:r w:rsidR="006661ED" w:rsidRPr="00425AA6">
        <w:rPr>
          <w:rFonts w:ascii="Times New Roman" w:hAnsi="Times New Roman"/>
          <w:i/>
          <w:iCs/>
          <w:color w:val="auto"/>
          <w:sz w:val="22"/>
          <w:szCs w:val="22"/>
        </w:rPr>
        <w:t xml:space="preserve">2 </w:t>
      </w:r>
      <w:proofErr w:type="spellStart"/>
      <w:r w:rsidR="006661ED" w:rsidRPr="00425AA6">
        <w:rPr>
          <w:rFonts w:ascii="Times New Roman" w:hAnsi="Times New Roman"/>
          <w:i/>
          <w:iCs/>
          <w:color w:val="auto"/>
          <w:sz w:val="22"/>
          <w:szCs w:val="22"/>
        </w:rPr>
        <w:t>Freundlich</w:t>
      </w:r>
      <w:proofErr w:type="spellEnd"/>
      <w:r w:rsidR="006661ED" w:rsidRPr="00425AA6">
        <w:rPr>
          <w:rFonts w:ascii="Times New Roman" w:hAnsi="Times New Roman"/>
          <w:i/>
          <w:iCs/>
          <w:color w:val="auto"/>
          <w:sz w:val="22"/>
          <w:szCs w:val="22"/>
        </w:rPr>
        <w:t xml:space="preserve"> </w:t>
      </w:r>
      <w:r w:rsidR="002A3A23" w:rsidRPr="00425AA6">
        <w:rPr>
          <w:rFonts w:ascii="Times New Roman" w:hAnsi="Times New Roman"/>
          <w:i/>
          <w:iCs/>
          <w:color w:val="auto"/>
          <w:sz w:val="22"/>
          <w:szCs w:val="22"/>
          <w:lang w:val="en-US"/>
        </w:rPr>
        <w:t>Ii</w:t>
      </w:r>
      <w:proofErr w:type="spellStart"/>
      <w:r w:rsidR="006661ED" w:rsidRPr="00425AA6">
        <w:rPr>
          <w:rFonts w:ascii="Times New Roman" w:hAnsi="Times New Roman"/>
          <w:i/>
          <w:iCs/>
          <w:color w:val="auto"/>
          <w:sz w:val="22"/>
          <w:szCs w:val="22"/>
        </w:rPr>
        <w:t>sotherm</w:t>
      </w:r>
      <w:proofErr w:type="spellEnd"/>
      <w:r w:rsidR="006661ED" w:rsidRPr="00425AA6">
        <w:rPr>
          <w:rFonts w:ascii="Times New Roman" w:hAnsi="Times New Roman"/>
          <w:i/>
          <w:iCs/>
          <w:color w:val="auto"/>
          <w:sz w:val="22"/>
          <w:szCs w:val="22"/>
        </w:rPr>
        <w:t xml:space="preserve"> </w:t>
      </w:r>
      <w:r w:rsidR="002A3A23" w:rsidRPr="00425AA6">
        <w:rPr>
          <w:rFonts w:ascii="Times New Roman" w:hAnsi="Times New Roman"/>
          <w:i/>
          <w:iCs/>
          <w:color w:val="auto"/>
          <w:sz w:val="22"/>
          <w:szCs w:val="22"/>
          <w:lang w:val="en-US"/>
        </w:rPr>
        <w:t>m</w:t>
      </w:r>
      <w:proofErr w:type="spellStart"/>
      <w:r w:rsidR="006661ED" w:rsidRPr="00425AA6">
        <w:rPr>
          <w:rFonts w:ascii="Times New Roman" w:hAnsi="Times New Roman"/>
          <w:i/>
          <w:iCs/>
          <w:color w:val="auto"/>
          <w:sz w:val="22"/>
          <w:szCs w:val="22"/>
        </w:rPr>
        <w:t>odel</w:t>
      </w:r>
      <w:bookmarkEnd w:id="37"/>
      <w:proofErr w:type="spellEnd"/>
      <w:r w:rsidR="006661ED" w:rsidRPr="00425AA6">
        <w:rPr>
          <w:rFonts w:ascii="Times New Roman" w:hAnsi="Times New Roman"/>
          <w:i/>
          <w:iCs/>
          <w:color w:val="auto"/>
          <w:sz w:val="22"/>
          <w:szCs w:val="22"/>
        </w:rPr>
        <w:t xml:space="preserve"> </w:t>
      </w:r>
    </w:p>
    <w:p w14:paraId="121390E9" w14:textId="77777777" w:rsidR="006661ED" w:rsidRPr="00956C5F" w:rsidRDefault="006661ED" w:rsidP="00956C5F">
      <w:pPr>
        <w:pStyle w:val="Default"/>
        <w:spacing w:line="360" w:lineRule="auto"/>
        <w:jc w:val="both"/>
        <w:rPr>
          <w:rFonts w:eastAsia="AdvTimes"/>
          <w:sz w:val="22"/>
          <w:szCs w:val="22"/>
        </w:rPr>
      </w:pPr>
      <w:r w:rsidRPr="00956C5F">
        <w:rPr>
          <w:rFonts w:eastAsia="AdvTimes"/>
          <w:color w:val="auto"/>
          <w:sz w:val="22"/>
          <w:szCs w:val="22"/>
        </w:rPr>
        <w:t xml:space="preserve">The Freundlich adsorption isotherm can be used successfully for modeling the equilibrium data in metal-surface systems. It is an empirical equation based on adsorption on a heterogeneous surface. </w:t>
      </w:r>
      <w:r w:rsidRPr="00956C5F">
        <w:rPr>
          <w:b/>
          <w:color w:val="auto"/>
          <w:sz w:val="22"/>
          <w:szCs w:val="22"/>
        </w:rPr>
        <w:t>Fig</w:t>
      </w:r>
      <w:r w:rsidR="006E60B0" w:rsidRPr="00956C5F">
        <w:rPr>
          <w:b/>
          <w:color w:val="auto"/>
          <w:sz w:val="22"/>
          <w:szCs w:val="22"/>
        </w:rPr>
        <w:t xml:space="preserve">ure </w:t>
      </w:r>
      <w:r w:rsidRPr="00956C5F">
        <w:rPr>
          <w:b/>
          <w:color w:val="auto"/>
          <w:sz w:val="22"/>
          <w:szCs w:val="22"/>
        </w:rPr>
        <w:t>1</w:t>
      </w:r>
      <w:r w:rsidR="00D818CC" w:rsidRPr="00956C5F">
        <w:rPr>
          <w:b/>
          <w:color w:val="auto"/>
          <w:sz w:val="22"/>
          <w:szCs w:val="22"/>
        </w:rPr>
        <w:t>3</w:t>
      </w:r>
      <w:r w:rsidR="006E60B0" w:rsidRPr="00956C5F">
        <w:rPr>
          <w:b/>
          <w:color w:val="auto"/>
          <w:sz w:val="22"/>
          <w:szCs w:val="22"/>
        </w:rPr>
        <w:t xml:space="preserve"> &amp; Table</w:t>
      </w:r>
      <w:r w:rsidR="002A6F6E" w:rsidRPr="00956C5F">
        <w:rPr>
          <w:b/>
          <w:color w:val="auto"/>
          <w:sz w:val="22"/>
          <w:szCs w:val="22"/>
        </w:rPr>
        <w:t xml:space="preserve"> 2 &amp;</w:t>
      </w:r>
      <w:r w:rsidR="006E60B0" w:rsidRPr="00956C5F">
        <w:rPr>
          <w:b/>
          <w:color w:val="auto"/>
          <w:sz w:val="22"/>
          <w:szCs w:val="22"/>
        </w:rPr>
        <w:t xml:space="preserve"> 3</w:t>
      </w:r>
      <w:r w:rsidRPr="00956C5F">
        <w:rPr>
          <w:rFonts w:eastAsia="AdvTimes"/>
          <w:color w:val="auto"/>
          <w:sz w:val="22"/>
          <w:szCs w:val="22"/>
        </w:rPr>
        <w:t xml:space="preserve"> shows that the plot of </w:t>
      </w:r>
      <w:proofErr w:type="spellStart"/>
      <w:r w:rsidRPr="00956C5F">
        <w:rPr>
          <w:rFonts w:eastAsia="AdvTimes"/>
          <w:color w:val="auto"/>
          <w:sz w:val="22"/>
          <w:szCs w:val="22"/>
        </w:rPr>
        <w:t>lnqe</w:t>
      </w:r>
      <w:proofErr w:type="spellEnd"/>
      <w:r w:rsidRPr="00956C5F">
        <w:rPr>
          <w:rFonts w:eastAsia="AdvTimes"/>
          <w:color w:val="auto"/>
          <w:sz w:val="22"/>
          <w:szCs w:val="22"/>
        </w:rPr>
        <w:t xml:space="preserve"> vs. </w:t>
      </w:r>
      <w:proofErr w:type="spellStart"/>
      <w:r w:rsidRPr="00956C5F">
        <w:rPr>
          <w:rFonts w:eastAsia="AdvTimes"/>
          <w:color w:val="auto"/>
          <w:sz w:val="22"/>
          <w:szCs w:val="22"/>
        </w:rPr>
        <w:t>lnCe</w:t>
      </w:r>
      <w:proofErr w:type="spellEnd"/>
      <w:r w:rsidRPr="00956C5F">
        <w:rPr>
          <w:rFonts w:eastAsia="AdvTimes"/>
          <w:color w:val="auto"/>
          <w:sz w:val="22"/>
          <w:szCs w:val="22"/>
        </w:rPr>
        <w:t xml:space="preserve"> gave a straight line with a correlation coefficient of 0.9016 suggesting the applicability of the Freundlich model to </w:t>
      </w:r>
      <w:r w:rsidR="00C24A04" w:rsidRPr="00956C5F">
        <w:rPr>
          <w:rFonts w:eastAsia="AdvTimes"/>
          <w:color w:val="auto"/>
          <w:sz w:val="22"/>
          <w:szCs w:val="22"/>
        </w:rPr>
        <w:t>Cr</w:t>
      </w:r>
      <w:r w:rsidR="00287C6C" w:rsidRPr="00956C5F">
        <w:rPr>
          <w:rFonts w:eastAsia="AdvTimes"/>
          <w:color w:val="auto"/>
          <w:sz w:val="22"/>
          <w:szCs w:val="22"/>
        </w:rPr>
        <w:t xml:space="preserve"> </w:t>
      </w:r>
      <w:r w:rsidR="00C24A04" w:rsidRPr="00956C5F">
        <w:rPr>
          <w:rFonts w:eastAsia="AdvTimes"/>
          <w:color w:val="auto"/>
          <w:sz w:val="22"/>
          <w:szCs w:val="22"/>
        </w:rPr>
        <w:t>(VI)</w:t>
      </w:r>
      <w:r w:rsidRPr="00956C5F">
        <w:rPr>
          <w:rFonts w:eastAsia="AdvTimes"/>
          <w:color w:val="auto"/>
          <w:sz w:val="22"/>
          <w:szCs w:val="22"/>
        </w:rPr>
        <w:t xml:space="preserve"> adsorption onto </w:t>
      </w:r>
      <w:r w:rsidR="00C24A04" w:rsidRPr="00956C5F">
        <w:rPr>
          <w:rFonts w:eastAsia="AdvTimes"/>
          <w:color w:val="auto"/>
          <w:sz w:val="22"/>
          <w:szCs w:val="22"/>
        </w:rPr>
        <w:t>powdered marble chips waste</w:t>
      </w:r>
      <w:r w:rsidRPr="00956C5F">
        <w:rPr>
          <w:rFonts w:eastAsia="AdvTimes"/>
          <w:color w:val="auto"/>
          <w:sz w:val="22"/>
          <w:szCs w:val="22"/>
        </w:rPr>
        <w:t>. The</w:t>
      </w:r>
      <w:r w:rsidRPr="00956C5F">
        <w:rPr>
          <w:color w:val="auto"/>
          <w:sz w:val="22"/>
          <w:szCs w:val="22"/>
          <w:shd w:val="clear" w:color="auto" w:fill="FFFFFF"/>
        </w:rPr>
        <w:t xml:space="preserve"> </w:t>
      </w:r>
      <w:proofErr w:type="spellStart"/>
      <w:r w:rsidRPr="00956C5F">
        <w:rPr>
          <w:color w:val="auto"/>
          <w:sz w:val="22"/>
          <w:szCs w:val="22"/>
          <w:shd w:val="clear" w:color="auto" w:fill="FFFFFF"/>
        </w:rPr>
        <w:t>Freundlich</w:t>
      </w:r>
      <w:proofErr w:type="spellEnd"/>
      <w:r w:rsidRPr="00956C5F">
        <w:rPr>
          <w:color w:val="auto"/>
          <w:sz w:val="22"/>
          <w:szCs w:val="22"/>
          <w:shd w:val="clear" w:color="auto" w:fill="FFFFFF"/>
        </w:rPr>
        <w:t xml:space="preserve"> equilibrium constants</w:t>
      </w:r>
      <w:r w:rsidR="00C24A04" w:rsidRPr="00956C5F">
        <w:rPr>
          <w:rFonts w:eastAsia="AdvTimes"/>
          <w:color w:val="auto"/>
          <w:sz w:val="22"/>
          <w:szCs w:val="22"/>
        </w:rPr>
        <w:t xml:space="preserve"> </w:t>
      </w:r>
      <w:proofErr w:type="spellStart"/>
      <w:r w:rsidR="00C24A04" w:rsidRPr="00956C5F">
        <w:rPr>
          <w:rFonts w:eastAsia="AdvTimes"/>
          <w:color w:val="auto"/>
          <w:sz w:val="22"/>
          <w:szCs w:val="22"/>
        </w:rPr>
        <w:t>kf</w:t>
      </w:r>
      <w:proofErr w:type="spellEnd"/>
      <w:r w:rsidR="00C24A04" w:rsidRPr="00956C5F">
        <w:rPr>
          <w:rFonts w:eastAsia="AdvTimes"/>
          <w:color w:val="auto"/>
          <w:sz w:val="22"/>
          <w:szCs w:val="22"/>
        </w:rPr>
        <w:t xml:space="preserve"> and 1/n for adsorption of Cr (VI)</w:t>
      </w:r>
      <w:r w:rsidRPr="00956C5F">
        <w:rPr>
          <w:rFonts w:eastAsia="AdvTimes"/>
          <w:color w:val="auto"/>
          <w:sz w:val="22"/>
          <w:szCs w:val="22"/>
        </w:rPr>
        <w:t xml:space="preserve"> ions onto </w:t>
      </w:r>
      <w:r w:rsidR="00C24A04" w:rsidRPr="00956C5F">
        <w:rPr>
          <w:rFonts w:eastAsia="AdvTimes"/>
          <w:color w:val="auto"/>
          <w:sz w:val="22"/>
          <w:szCs w:val="22"/>
        </w:rPr>
        <w:t>the adsorbent</w:t>
      </w:r>
      <w:r w:rsidRPr="00956C5F">
        <w:rPr>
          <w:rFonts w:eastAsia="AdvTimes"/>
          <w:color w:val="auto"/>
          <w:sz w:val="22"/>
          <w:szCs w:val="22"/>
        </w:rPr>
        <w:t xml:space="preserve"> were calculated from the intercept and slope of the figure</w:t>
      </w:r>
      <w:r w:rsidRPr="00956C5F">
        <w:rPr>
          <w:color w:val="auto"/>
          <w:sz w:val="22"/>
          <w:szCs w:val="22"/>
          <w:shd w:val="clear" w:color="auto" w:fill="FFFFFF"/>
        </w:rPr>
        <w:t>, on the basis of the linear form of Freundlich equation. The value of n indicates the degree of nonlinearity between solution concentration and adsorption as follows: if n=1, then adsorption is linear; if n&lt;1, then adsorption is a chemical process; if n&gt;1, then adsorption is a physical process</w:t>
      </w:r>
      <w:r w:rsidR="002650BA" w:rsidRPr="00956C5F">
        <w:rPr>
          <w:color w:val="auto"/>
          <w:sz w:val="22"/>
          <w:szCs w:val="22"/>
        </w:rPr>
        <w:t xml:space="preserve"> (Foo &amp; Hameed, 2010)</w:t>
      </w:r>
      <w:r w:rsidRPr="00956C5F">
        <w:rPr>
          <w:color w:val="auto"/>
          <w:sz w:val="22"/>
          <w:szCs w:val="22"/>
          <w:shd w:val="clear" w:color="auto" w:fill="FFFFFF"/>
        </w:rPr>
        <w:t>.</w:t>
      </w:r>
      <w:r w:rsidRPr="00956C5F">
        <w:rPr>
          <w:color w:val="auto"/>
          <w:sz w:val="22"/>
          <w:szCs w:val="22"/>
        </w:rPr>
        <w:t xml:space="preserve"> </w:t>
      </w:r>
      <w:r w:rsidRPr="00956C5F">
        <w:rPr>
          <w:sz w:val="22"/>
          <w:szCs w:val="22"/>
        </w:rPr>
        <w:t xml:space="preserve">In </w:t>
      </w:r>
      <w:r w:rsidR="002A6F6E" w:rsidRPr="00956C5F">
        <w:rPr>
          <w:sz w:val="22"/>
          <w:szCs w:val="22"/>
        </w:rPr>
        <w:t>this</w:t>
      </w:r>
      <w:r w:rsidRPr="00956C5F">
        <w:rPr>
          <w:sz w:val="22"/>
          <w:szCs w:val="22"/>
        </w:rPr>
        <w:t xml:space="preserve"> study the value of n </w:t>
      </w:r>
      <w:r w:rsidR="002A6F6E" w:rsidRPr="00956C5F">
        <w:rPr>
          <w:sz w:val="22"/>
          <w:szCs w:val="22"/>
        </w:rPr>
        <w:t>is</w:t>
      </w:r>
      <w:r w:rsidRPr="00956C5F">
        <w:rPr>
          <w:sz w:val="22"/>
          <w:szCs w:val="22"/>
        </w:rPr>
        <w:t xml:space="preserve"> -9.50</w:t>
      </w:r>
      <w:r w:rsidR="002A6F6E" w:rsidRPr="00956C5F">
        <w:rPr>
          <w:sz w:val="22"/>
          <w:szCs w:val="22"/>
        </w:rPr>
        <w:t>6</w:t>
      </w:r>
      <w:r w:rsidRPr="00956C5F">
        <w:rPr>
          <w:sz w:val="22"/>
          <w:szCs w:val="22"/>
        </w:rPr>
        <w:t xml:space="preserve"> is less than 1, indicating that the adsorption process</w:t>
      </w:r>
      <w:r w:rsidRPr="00956C5F">
        <w:rPr>
          <w:sz w:val="22"/>
          <w:szCs w:val="22"/>
          <w:shd w:val="clear" w:color="auto" w:fill="FFFFFF"/>
        </w:rPr>
        <w:t xml:space="preserve"> is a chemical process</w:t>
      </w:r>
    </w:p>
    <w:p w14:paraId="13AAFEC2" w14:textId="77777777" w:rsidR="006661ED" w:rsidRPr="00956C5F" w:rsidRDefault="006661ED" w:rsidP="00956C5F">
      <w:pPr>
        <w:autoSpaceDE w:val="0"/>
        <w:autoSpaceDN w:val="0"/>
        <w:adjustRightInd w:val="0"/>
        <w:spacing w:after="0" w:line="360" w:lineRule="auto"/>
        <w:jc w:val="both"/>
        <w:rPr>
          <w:bCs/>
          <w:sz w:val="22"/>
        </w:rPr>
      </w:pPr>
      <w:r w:rsidRPr="00956C5F">
        <w:rPr>
          <w:noProof/>
          <w:sz w:val="22"/>
        </w:rPr>
        <w:drawing>
          <wp:inline distT="0" distB="0" distL="0" distR="0" wp14:anchorId="77A549A1" wp14:editId="1B069A61">
            <wp:extent cx="4817660" cy="2661313"/>
            <wp:effectExtent l="0" t="0" r="2540" b="571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FC103A" w14:textId="77777777" w:rsidR="006661ED" w:rsidRPr="00956C5F" w:rsidRDefault="006661ED" w:rsidP="00956C5F">
      <w:pPr>
        <w:autoSpaceDE w:val="0"/>
        <w:autoSpaceDN w:val="0"/>
        <w:adjustRightInd w:val="0"/>
        <w:spacing w:after="0" w:line="360" w:lineRule="auto"/>
        <w:jc w:val="both"/>
        <w:rPr>
          <w:bCs/>
          <w:sz w:val="22"/>
        </w:rPr>
      </w:pPr>
      <w:r w:rsidRPr="00956C5F">
        <w:rPr>
          <w:b/>
          <w:bCs/>
          <w:iCs/>
          <w:sz w:val="22"/>
        </w:rPr>
        <w:t xml:space="preserve">Figure </w:t>
      </w:r>
      <w:r w:rsidR="002C23D7" w:rsidRPr="00956C5F">
        <w:rPr>
          <w:b/>
          <w:bCs/>
          <w:iCs/>
          <w:sz w:val="22"/>
        </w:rPr>
        <w:t>1</w:t>
      </w:r>
      <w:r w:rsidR="00D818CC" w:rsidRPr="00956C5F">
        <w:rPr>
          <w:b/>
          <w:bCs/>
          <w:iCs/>
          <w:sz w:val="22"/>
        </w:rPr>
        <w:t>3</w:t>
      </w:r>
      <w:r w:rsidR="002C23D7" w:rsidRPr="00956C5F">
        <w:rPr>
          <w:bCs/>
          <w:iCs/>
          <w:sz w:val="22"/>
        </w:rPr>
        <w:t>.</w:t>
      </w:r>
      <w:r w:rsidR="006E60B0" w:rsidRPr="00956C5F">
        <w:rPr>
          <w:bCs/>
          <w:iCs/>
          <w:sz w:val="22"/>
        </w:rPr>
        <w:t xml:space="preserve"> </w:t>
      </w:r>
      <w:r w:rsidRPr="00956C5F">
        <w:rPr>
          <w:bCs/>
          <w:iCs/>
          <w:sz w:val="22"/>
        </w:rPr>
        <w:t xml:space="preserve"> Freundlich plots for the adsorption</w:t>
      </w:r>
      <w:r w:rsidRPr="00956C5F">
        <w:rPr>
          <w:sz w:val="22"/>
        </w:rPr>
        <w:t xml:space="preserve"> of chromium ion on powdered marble</w:t>
      </w:r>
    </w:p>
    <w:p w14:paraId="5E0739F0" w14:textId="77777777" w:rsidR="006661ED" w:rsidRPr="00956C5F" w:rsidRDefault="006661ED" w:rsidP="00956C5F">
      <w:pPr>
        <w:pStyle w:val="ListParagraph"/>
        <w:autoSpaceDE w:val="0"/>
        <w:autoSpaceDN w:val="0"/>
        <w:adjustRightInd w:val="0"/>
        <w:spacing w:after="0" w:line="360" w:lineRule="auto"/>
        <w:ind w:left="900"/>
        <w:jc w:val="both"/>
        <w:rPr>
          <w:bCs/>
          <w:sz w:val="22"/>
        </w:rPr>
      </w:pPr>
    </w:p>
    <w:p w14:paraId="5646A738" w14:textId="77777777" w:rsidR="006661ED" w:rsidRPr="00956C5F" w:rsidRDefault="002A6F6E" w:rsidP="00956C5F">
      <w:pPr>
        <w:pStyle w:val="Default"/>
        <w:spacing w:after="240" w:line="360" w:lineRule="auto"/>
        <w:rPr>
          <w:color w:val="auto"/>
          <w:sz w:val="22"/>
          <w:szCs w:val="22"/>
        </w:rPr>
      </w:pPr>
      <w:r w:rsidRPr="00956C5F">
        <w:rPr>
          <w:b/>
          <w:bCs/>
          <w:color w:val="auto"/>
          <w:sz w:val="22"/>
          <w:szCs w:val="22"/>
        </w:rPr>
        <w:t xml:space="preserve">Table </w:t>
      </w:r>
      <w:r w:rsidR="00873420" w:rsidRPr="00956C5F">
        <w:rPr>
          <w:b/>
          <w:bCs/>
          <w:color w:val="auto"/>
          <w:sz w:val="22"/>
          <w:szCs w:val="22"/>
        </w:rPr>
        <w:t>3</w:t>
      </w:r>
      <w:r w:rsidR="00873420" w:rsidRPr="00956C5F">
        <w:rPr>
          <w:bCs/>
          <w:color w:val="auto"/>
          <w:sz w:val="22"/>
          <w:szCs w:val="22"/>
        </w:rPr>
        <w:t xml:space="preserve"> </w:t>
      </w:r>
      <w:r w:rsidR="00873420" w:rsidRPr="00956C5F">
        <w:rPr>
          <w:color w:val="auto"/>
          <w:sz w:val="22"/>
          <w:szCs w:val="22"/>
        </w:rPr>
        <w:t>Langmuir</w:t>
      </w:r>
      <w:r w:rsidR="006661ED" w:rsidRPr="00956C5F">
        <w:rPr>
          <w:color w:val="auto"/>
          <w:sz w:val="22"/>
          <w:szCs w:val="22"/>
        </w:rPr>
        <w:t xml:space="preserve"> and Freundlich isotherm model constants and correlation coefficients for adsorption of chromium on powdered marble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114"/>
        <w:gridCol w:w="1771"/>
        <w:gridCol w:w="1315"/>
        <w:gridCol w:w="1878"/>
        <w:gridCol w:w="1595"/>
      </w:tblGrid>
      <w:tr w:rsidR="006661ED" w:rsidRPr="00956C5F" w14:paraId="1827535B" w14:textId="77777777" w:rsidTr="003720F4">
        <w:tc>
          <w:tcPr>
            <w:tcW w:w="4788" w:type="dxa"/>
            <w:gridSpan w:val="3"/>
          </w:tcPr>
          <w:tbl>
            <w:tblPr>
              <w:tblW w:w="0" w:type="auto"/>
              <w:tblBorders>
                <w:top w:val="nil"/>
                <w:left w:val="nil"/>
                <w:bottom w:val="nil"/>
                <w:right w:val="nil"/>
              </w:tblBorders>
              <w:tblLook w:val="0000" w:firstRow="0" w:lastRow="0" w:firstColumn="0" w:lastColumn="0" w:noHBand="0" w:noVBand="0"/>
            </w:tblPr>
            <w:tblGrid>
              <w:gridCol w:w="2191"/>
            </w:tblGrid>
            <w:tr w:rsidR="006661ED" w:rsidRPr="00956C5F" w14:paraId="1A3930F0" w14:textId="77777777" w:rsidTr="003720F4">
              <w:trPr>
                <w:trHeight w:val="125"/>
              </w:trPr>
              <w:tc>
                <w:tcPr>
                  <w:tcW w:w="0" w:type="auto"/>
                </w:tcPr>
                <w:p w14:paraId="6F89F2EC" w14:textId="77777777" w:rsidR="006661ED" w:rsidRPr="00956C5F" w:rsidRDefault="006661ED" w:rsidP="00956C5F">
                  <w:pPr>
                    <w:autoSpaceDE w:val="0"/>
                    <w:autoSpaceDN w:val="0"/>
                    <w:adjustRightInd w:val="0"/>
                    <w:spacing w:after="0" w:line="360" w:lineRule="auto"/>
                    <w:jc w:val="both"/>
                    <w:rPr>
                      <w:sz w:val="22"/>
                    </w:rPr>
                  </w:pPr>
                  <w:r w:rsidRPr="00956C5F">
                    <w:rPr>
                      <w:b/>
                      <w:bCs/>
                      <w:sz w:val="22"/>
                    </w:rPr>
                    <w:t xml:space="preserve">Freundlich constants </w:t>
                  </w:r>
                </w:p>
              </w:tc>
            </w:tr>
          </w:tbl>
          <w:p w14:paraId="1F171B91" w14:textId="77777777" w:rsidR="006661ED" w:rsidRPr="00956C5F" w:rsidRDefault="006661ED" w:rsidP="00956C5F">
            <w:pPr>
              <w:autoSpaceDE w:val="0"/>
              <w:autoSpaceDN w:val="0"/>
              <w:adjustRightInd w:val="0"/>
              <w:spacing w:after="0" w:line="360" w:lineRule="auto"/>
              <w:jc w:val="both"/>
              <w:rPr>
                <w:bCs/>
                <w:sz w:val="22"/>
              </w:rPr>
            </w:pPr>
          </w:p>
        </w:tc>
        <w:tc>
          <w:tcPr>
            <w:tcW w:w="4788" w:type="dxa"/>
            <w:gridSpan w:val="3"/>
          </w:tcPr>
          <w:p w14:paraId="54893BE0" w14:textId="77777777" w:rsidR="006661ED" w:rsidRPr="00956C5F" w:rsidRDefault="006661ED" w:rsidP="00956C5F">
            <w:pPr>
              <w:pStyle w:val="Default"/>
              <w:spacing w:line="360" w:lineRule="auto"/>
              <w:jc w:val="both"/>
              <w:rPr>
                <w:color w:val="auto"/>
                <w:sz w:val="22"/>
                <w:szCs w:val="22"/>
              </w:rPr>
            </w:pPr>
            <w:r w:rsidRPr="00956C5F">
              <w:rPr>
                <w:b/>
                <w:bCs/>
                <w:color w:val="auto"/>
                <w:sz w:val="22"/>
                <w:szCs w:val="22"/>
              </w:rPr>
              <w:t xml:space="preserve">Langmuir constants </w:t>
            </w:r>
          </w:p>
          <w:p w14:paraId="2FCAF50A" w14:textId="77777777" w:rsidR="006661ED" w:rsidRPr="00956C5F" w:rsidRDefault="006661ED" w:rsidP="00956C5F">
            <w:pPr>
              <w:autoSpaceDE w:val="0"/>
              <w:autoSpaceDN w:val="0"/>
              <w:adjustRightInd w:val="0"/>
              <w:spacing w:after="0" w:line="360" w:lineRule="auto"/>
              <w:jc w:val="both"/>
              <w:rPr>
                <w:bCs/>
                <w:sz w:val="22"/>
              </w:rPr>
            </w:pPr>
          </w:p>
        </w:tc>
      </w:tr>
      <w:tr w:rsidR="006661ED" w:rsidRPr="00956C5F" w14:paraId="3CC4C4CA" w14:textId="77777777" w:rsidTr="003720F4">
        <w:tc>
          <w:tcPr>
            <w:tcW w:w="1903" w:type="dxa"/>
          </w:tcPr>
          <w:p w14:paraId="37B591EA"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R</w:t>
            </w:r>
            <w:r w:rsidRPr="00956C5F">
              <w:rPr>
                <w:bCs/>
                <w:sz w:val="22"/>
                <w:vertAlign w:val="superscript"/>
              </w:rPr>
              <w:t>2</w:t>
            </w:r>
          </w:p>
        </w:tc>
        <w:tc>
          <w:tcPr>
            <w:tcW w:w="1114" w:type="dxa"/>
          </w:tcPr>
          <w:p w14:paraId="4BAB9F44"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1/n</w:t>
            </w:r>
          </w:p>
        </w:tc>
        <w:tc>
          <w:tcPr>
            <w:tcW w:w="1771" w:type="dxa"/>
          </w:tcPr>
          <w:p w14:paraId="1209C4B4" w14:textId="77777777" w:rsidR="006661ED" w:rsidRPr="00956C5F" w:rsidRDefault="006661ED" w:rsidP="00956C5F">
            <w:pPr>
              <w:autoSpaceDE w:val="0"/>
              <w:autoSpaceDN w:val="0"/>
              <w:adjustRightInd w:val="0"/>
              <w:spacing w:after="0" w:line="360" w:lineRule="auto"/>
              <w:jc w:val="both"/>
              <w:rPr>
                <w:bCs/>
                <w:sz w:val="22"/>
              </w:rPr>
            </w:pPr>
            <w:proofErr w:type="spellStart"/>
            <w:r w:rsidRPr="00956C5F">
              <w:rPr>
                <w:bCs/>
                <w:sz w:val="22"/>
              </w:rPr>
              <w:t>Kf</w:t>
            </w:r>
            <w:proofErr w:type="spellEnd"/>
          </w:p>
        </w:tc>
        <w:tc>
          <w:tcPr>
            <w:tcW w:w="1315" w:type="dxa"/>
          </w:tcPr>
          <w:p w14:paraId="1BCBEE6E"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R</w:t>
            </w:r>
            <w:r w:rsidRPr="00956C5F">
              <w:rPr>
                <w:bCs/>
                <w:sz w:val="22"/>
                <w:vertAlign w:val="superscript"/>
              </w:rPr>
              <w:t>2</w:t>
            </w:r>
          </w:p>
        </w:tc>
        <w:tc>
          <w:tcPr>
            <w:tcW w:w="1878" w:type="dxa"/>
          </w:tcPr>
          <w:p w14:paraId="7986BEE9"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B</w:t>
            </w:r>
          </w:p>
        </w:tc>
        <w:tc>
          <w:tcPr>
            <w:tcW w:w="1595" w:type="dxa"/>
          </w:tcPr>
          <w:p w14:paraId="4156DF64" w14:textId="77777777" w:rsidR="006661ED" w:rsidRPr="00956C5F" w:rsidRDefault="006661ED" w:rsidP="00956C5F">
            <w:pPr>
              <w:autoSpaceDE w:val="0"/>
              <w:autoSpaceDN w:val="0"/>
              <w:adjustRightInd w:val="0"/>
              <w:spacing w:after="0" w:line="360" w:lineRule="auto"/>
              <w:jc w:val="both"/>
              <w:rPr>
                <w:bCs/>
                <w:sz w:val="22"/>
              </w:rPr>
            </w:pPr>
            <w:proofErr w:type="spellStart"/>
            <w:r w:rsidRPr="00956C5F">
              <w:rPr>
                <w:bCs/>
                <w:sz w:val="22"/>
              </w:rPr>
              <w:t>q</w:t>
            </w:r>
            <w:r w:rsidRPr="00956C5F">
              <w:rPr>
                <w:bCs/>
                <w:sz w:val="22"/>
                <w:vertAlign w:val="subscript"/>
              </w:rPr>
              <w:t>m</w:t>
            </w:r>
            <w:proofErr w:type="spellEnd"/>
            <w:r w:rsidRPr="00956C5F">
              <w:rPr>
                <w:bCs/>
                <w:sz w:val="22"/>
                <w:vertAlign w:val="subscript"/>
              </w:rPr>
              <w:t>(mg/g)</w:t>
            </w:r>
          </w:p>
        </w:tc>
      </w:tr>
      <w:tr w:rsidR="006661ED" w:rsidRPr="00956C5F" w14:paraId="4CF287D9" w14:textId="77777777" w:rsidTr="003720F4">
        <w:tc>
          <w:tcPr>
            <w:tcW w:w="1903" w:type="dxa"/>
          </w:tcPr>
          <w:p w14:paraId="63BE3B78"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0.9016</w:t>
            </w:r>
          </w:p>
        </w:tc>
        <w:tc>
          <w:tcPr>
            <w:tcW w:w="1114" w:type="dxa"/>
          </w:tcPr>
          <w:p w14:paraId="13FC4C61"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-0.1052</w:t>
            </w:r>
          </w:p>
        </w:tc>
        <w:tc>
          <w:tcPr>
            <w:tcW w:w="1771" w:type="dxa"/>
          </w:tcPr>
          <w:p w14:paraId="510ADA49"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1.77</w:t>
            </w:r>
          </w:p>
        </w:tc>
        <w:tc>
          <w:tcPr>
            <w:tcW w:w="1315" w:type="dxa"/>
          </w:tcPr>
          <w:p w14:paraId="28651370"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0.9911</w:t>
            </w:r>
          </w:p>
        </w:tc>
        <w:tc>
          <w:tcPr>
            <w:tcW w:w="1878" w:type="dxa"/>
          </w:tcPr>
          <w:p w14:paraId="48A77F43"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0.017</w:t>
            </w:r>
          </w:p>
        </w:tc>
        <w:tc>
          <w:tcPr>
            <w:tcW w:w="1595" w:type="dxa"/>
          </w:tcPr>
          <w:p w14:paraId="5CCA036E" w14:textId="77777777" w:rsidR="006661ED" w:rsidRPr="00956C5F" w:rsidRDefault="006661ED" w:rsidP="00956C5F">
            <w:pPr>
              <w:autoSpaceDE w:val="0"/>
              <w:autoSpaceDN w:val="0"/>
              <w:adjustRightInd w:val="0"/>
              <w:spacing w:after="0" w:line="360" w:lineRule="auto"/>
              <w:jc w:val="both"/>
              <w:rPr>
                <w:bCs/>
                <w:sz w:val="22"/>
              </w:rPr>
            </w:pPr>
            <w:r w:rsidRPr="00956C5F">
              <w:rPr>
                <w:bCs/>
                <w:sz w:val="22"/>
              </w:rPr>
              <w:t>33.9</w:t>
            </w:r>
          </w:p>
        </w:tc>
      </w:tr>
    </w:tbl>
    <w:p w14:paraId="0F527776" w14:textId="77777777" w:rsidR="006661ED" w:rsidRPr="00956C5F" w:rsidRDefault="006661ED" w:rsidP="00956C5F">
      <w:pPr>
        <w:autoSpaceDE w:val="0"/>
        <w:autoSpaceDN w:val="0"/>
        <w:adjustRightInd w:val="0"/>
        <w:spacing w:after="0" w:line="360" w:lineRule="auto"/>
        <w:rPr>
          <w:sz w:val="22"/>
        </w:rPr>
      </w:pPr>
    </w:p>
    <w:p w14:paraId="69BDA55C" w14:textId="77777777" w:rsidR="006661ED" w:rsidRPr="00956C5F" w:rsidRDefault="006661ED" w:rsidP="00956C5F">
      <w:pPr>
        <w:pStyle w:val="CommentText"/>
        <w:spacing w:line="360" w:lineRule="auto"/>
        <w:jc w:val="both"/>
        <w:rPr>
          <w:rFonts w:ascii="Times New Roman" w:hAnsi="Times New Roman"/>
          <w:sz w:val="22"/>
          <w:szCs w:val="22"/>
        </w:rPr>
      </w:pPr>
      <w:r w:rsidRPr="00956C5F">
        <w:rPr>
          <w:rFonts w:ascii="Times New Roman" w:hAnsi="Times New Roman"/>
          <w:sz w:val="22"/>
          <w:szCs w:val="22"/>
        </w:rPr>
        <w:lastRenderedPageBreak/>
        <w:t>As indicated from the figures above, the correlation coefficient (R</w:t>
      </w:r>
      <w:r w:rsidRPr="00956C5F">
        <w:rPr>
          <w:rFonts w:ascii="Times New Roman" w:hAnsi="Times New Roman"/>
          <w:position w:val="8"/>
          <w:sz w:val="22"/>
          <w:szCs w:val="22"/>
          <w:vertAlign w:val="superscript"/>
        </w:rPr>
        <w:t>2</w:t>
      </w:r>
      <w:r w:rsidRPr="00956C5F">
        <w:rPr>
          <w:rFonts w:ascii="Times New Roman" w:hAnsi="Times New Roman"/>
          <w:sz w:val="22"/>
          <w:szCs w:val="22"/>
        </w:rPr>
        <w:t>) value of the Langmuir model (0.9911) was greater than Freundlich model R</w:t>
      </w:r>
      <w:r w:rsidRPr="00956C5F">
        <w:rPr>
          <w:rFonts w:ascii="Times New Roman" w:hAnsi="Times New Roman"/>
          <w:position w:val="8"/>
          <w:sz w:val="22"/>
          <w:szCs w:val="22"/>
          <w:vertAlign w:val="superscript"/>
        </w:rPr>
        <w:t>2</w:t>
      </w:r>
      <w:r w:rsidRPr="00956C5F">
        <w:rPr>
          <w:rFonts w:ascii="Times New Roman" w:hAnsi="Times New Roman"/>
          <w:sz w:val="22"/>
          <w:szCs w:val="22"/>
        </w:rPr>
        <w:t xml:space="preserve"> value (0.9016); this indicates that Langmuir isotherm model best explains the adsorption system of </w:t>
      </w:r>
      <w:r w:rsidR="00287C6C" w:rsidRPr="00956C5F">
        <w:rPr>
          <w:rFonts w:ascii="Times New Roman" w:hAnsi="Times New Roman"/>
          <w:sz w:val="22"/>
          <w:szCs w:val="22"/>
          <w:lang w:val="en-US"/>
        </w:rPr>
        <w:t>Cr(VI)</w:t>
      </w:r>
      <w:r w:rsidRPr="00956C5F">
        <w:rPr>
          <w:rFonts w:ascii="Times New Roman" w:hAnsi="Times New Roman"/>
          <w:sz w:val="22"/>
          <w:szCs w:val="22"/>
        </w:rPr>
        <w:t xml:space="preserve"> by powdered marble; so the adsorption process may be chemisorption.</w:t>
      </w:r>
    </w:p>
    <w:p w14:paraId="2B7D9CCE" w14:textId="77777777" w:rsidR="006661ED" w:rsidRPr="00956C5F" w:rsidRDefault="007B086B" w:rsidP="00425AA6">
      <w:pPr>
        <w:pStyle w:val="Heading1"/>
        <w:spacing w:before="0" w:line="360" w:lineRule="auto"/>
        <w:rPr>
          <w:rFonts w:ascii="Times New Roman" w:hAnsi="Times New Roman"/>
          <w:color w:val="auto"/>
          <w:sz w:val="22"/>
          <w:szCs w:val="22"/>
        </w:rPr>
      </w:pPr>
      <w:r w:rsidRPr="00956C5F">
        <w:rPr>
          <w:rFonts w:ascii="Times New Roman" w:hAnsi="Times New Roman"/>
          <w:color w:val="auto"/>
          <w:sz w:val="22"/>
          <w:szCs w:val="22"/>
          <w:lang w:val="en-US"/>
        </w:rPr>
        <w:t>3</w:t>
      </w:r>
      <w:r w:rsidRPr="00956C5F">
        <w:rPr>
          <w:rFonts w:ascii="Times New Roman" w:hAnsi="Times New Roman"/>
          <w:color w:val="auto"/>
          <w:sz w:val="22"/>
          <w:szCs w:val="22"/>
        </w:rPr>
        <w:t>.</w:t>
      </w:r>
      <w:r w:rsidR="00DE5E01" w:rsidRPr="00956C5F">
        <w:rPr>
          <w:rFonts w:ascii="Times New Roman" w:hAnsi="Times New Roman"/>
          <w:color w:val="auto"/>
          <w:sz w:val="22"/>
          <w:szCs w:val="22"/>
          <w:lang w:val="en-US"/>
        </w:rPr>
        <w:t xml:space="preserve">4 </w:t>
      </w:r>
      <w:r w:rsidR="006661ED" w:rsidRPr="00956C5F">
        <w:rPr>
          <w:rFonts w:ascii="Times New Roman" w:hAnsi="Times New Roman"/>
          <w:color w:val="auto"/>
          <w:sz w:val="22"/>
          <w:szCs w:val="22"/>
        </w:rPr>
        <w:t>Comparison of Chromium (VI) Adsorption with Various Adsorbents</w:t>
      </w:r>
    </w:p>
    <w:p w14:paraId="0CF55146" w14:textId="77777777" w:rsidR="006661ED" w:rsidRPr="00956C5F" w:rsidRDefault="006661ED" w:rsidP="00956C5F">
      <w:pPr>
        <w:autoSpaceDE w:val="0"/>
        <w:autoSpaceDN w:val="0"/>
        <w:adjustRightInd w:val="0"/>
        <w:spacing w:after="0" w:line="360" w:lineRule="auto"/>
        <w:jc w:val="both"/>
        <w:rPr>
          <w:sz w:val="22"/>
        </w:rPr>
      </w:pPr>
      <w:r w:rsidRPr="00956C5F">
        <w:rPr>
          <w:sz w:val="22"/>
        </w:rPr>
        <w:t xml:space="preserve">The adsorptive capacities of the adsorbents used in this work have been compared with those of others reported in the literature and the values of adsorption capacity as presented in </w:t>
      </w:r>
      <w:r w:rsidRPr="00956C5F">
        <w:rPr>
          <w:b/>
          <w:sz w:val="22"/>
        </w:rPr>
        <w:t>Table 4</w:t>
      </w:r>
      <w:r w:rsidR="002A6F6E" w:rsidRPr="00956C5F">
        <w:rPr>
          <w:sz w:val="22"/>
        </w:rPr>
        <w:t xml:space="preserve">. </w:t>
      </w:r>
      <w:r w:rsidRPr="00956C5F">
        <w:rPr>
          <w:sz w:val="22"/>
        </w:rPr>
        <w:t>The experimental data of the present investigation were compared with reported values. Results of our investigation revealed that the adsorbents have higher adsorption capacity than rice bran, potato peel waste, sunflower and activated carbon. The difference in adsorption capacity of the powdered marble in this report to those previously reported could be due to the difference in experimental conditions for the study of adsorption of Cr (VI)</w:t>
      </w:r>
      <w:r w:rsidRPr="00956C5F">
        <w:rPr>
          <w:sz w:val="22"/>
        </w:rPr>
        <w:fldChar w:fldCharType="begin"/>
      </w:r>
      <w:r w:rsidRPr="00956C5F">
        <w:rPr>
          <w:sz w:val="22"/>
        </w:rPr>
        <w:instrText xml:space="preserve"> ADDIN EN.CITE &lt;EndNote&gt;&lt;Cite&gt;&lt;Author&gt;Mekonnen&lt;/Author&gt;&lt;Year&gt;2015&lt;/Year&gt;&lt;RecNum&gt;109&lt;/RecNum&gt;&lt;DisplayText&gt;(Mekonnen, Yitbarek, &amp;amp; Soreta, 2015)&lt;/DisplayText&gt;&lt;record&gt;&lt;rec-number&gt;109&lt;/rec-number&gt;&lt;foreign-keys&gt;&lt;key app="EN" db-id="502dfepz89ep2ues9pfptderdf5005vpr250" timestamp="1514963455"&gt;109&lt;/key&gt;&lt;/foreign-keys&gt;&lt;ref-type name="Journal Article"&gt;17&lt;/ref-type&gt;&lt;contributors&gt;&lt;authors&gt;&lt;author&gt;Mekonnen, Elsay&lt;/author&gt;&lt;author&gt;Yitbarek, Menberu&lt;/author&gt;&lt;author&gt;Soreta, Tesfaye Refera&lt;/author&gt;&lt;/authors&gt;&lt;/contributors&gt;&lt;titles&gt;&lt;title&gt;Kinetic and thermodynamic studies of the adsorption of Cr (VI) onto some selected local adsorbents&lt;/title&gt;&lt;secondary-title&gt;South African Journal of Chemistry&lt;/secondary-title&gt;&lt;/titles&gt;&lt;periodical&gt;&lt;full-title&gt;South African Journal of Chemistry&lt;/full-title&gt;&lt;/periodical&gt;&lt;pages&gt;45-52&lt;/pages&gt;&lt;volume&gt;68&lt;/volume&gt;&lt;dates&gt;&lt;year&gt;2015&lt;/year&gt;&lt;/dates&gt;&lt;isbn&gt;0379-4350&lt;/isbn&gt;&lt;urls&gt;&lt;/urls&gt;&lt;/record&gt;&lt;/Cite&gt;&lt;/EndNote&gt;</w:instrText>
      </w:r>
      <w:r w:rsidRPr="00956C5F">
        <w:rPr>
          <w:sz w:val="22"/>
        </w:rPr>
        <w:fldChar w:fldCharType="separate"/>
      </w:r>
      <w:r w:rsidRPr="00956C5F">
        <w:rPr>
          <w:noProof/>
          <w:sz w:val="22"/>
        </w:rPr>
        <w:t>(Mekonnen</w:t>
      </w:r>
      <w:r w:rsidR="000346D7" w:rsidRPr="00956C5F">
        <w:rPr>
          <w:noProof/>
          <w:sz w:val="22"/>
        </w:rPr>
        <w:t xml:space="preserve"> </w:t>
      </w:r>
      <w:r w:rsidR="000346D7" w:rsidRPr="00956C5F">
        <w:rPr>
          <w:i/>
          <w:noProof/>
          <w:sz w:val="22"/>
        </w:rPr>
        <w:t>et al.,</w:t>
      </w:r>
      <w:r w:rsidR="000346D7" w:rsidRPr="00956C5F">
        <w:rPr>
          <w:noProof/>
          <w:sz w:val="22"/>
        </w:rPr>
        <w:t xml:space="preserve"> </w:t>
      </w:r>
      <w:r w:rsidRPr="00956C5F">
        <w:rPr>
          <w:noProof/>
          <w:sz w:val="22"/>
        </w:rPr>
        <w:t xml:space="preserve"> 2015)</w:t>
      </w:r>
      <w:r w:rsidRPr="00956C5F">
        <w:rPr>
          <w:sz w:val="22"/>
        </w:rPr>
        <w:fldChar w:fldCharType="end"/>
      </w:r>
      <w:r w:rsidR="002A6F6E" w:rsidRPr="00956C5F">
        <w:rPr>
          <w:sz w:val="22"/>
        </w:rPr>
        <w:t>.</w:t>
      </w:r>
    </w:p>
    <w:p w14:paraId="3A3B9404" w14:textId="77777777" w:rsidR="006661ED" w:rsidRPr="00956C5F" w:rsidRDefault="006661ED" w:rsidP="00956C5F">
      <w:pPr>
        <w:autoSpaceDE w:val="0"/>
        <w:autoSpaceDN w:val="0"/>
        <w:adjustRightInd w:val="0"/>
        <w:spacing w:after="0" w:line="360" w:lineRule="auto"/>
        <w:jc w:val="both"/>
        <w:rPr>
          <w:b/>
          <w:bCs/>
          <w:sz w:val="22"/>
        </w:rPr>
      </w:pPr>
    </w:p>
    <w:p w14:paraId="1AAA3007" w14:textId="77777777" w:rsidR="007841B3" w:rsidRPr="00956C5F" w:rsidRDefault="006661ED" w:rsidP="00956C5F">
      <w:pPr>
        <w:autoSpaceDE w:val="0"/>
        <w:autoSpaceDN w:val="0"/>
        <w:adjustRightInd w:val="0"/>
        <w:spacing w:line="360" w:lineRule="auto"/>
        <w:jc w:val="both"/>
        <w:rPr>
          <w:sz w:val="22"/>
        </w:rPr>
      </w:pPr>
      <w:r w:rsidRPr="00956C5F">
        <w:rPr>
          <w:b/>
          <w:bCs/>
          <w:sz w:val="22"/>
        </w:rPr>
        <w:t xml:space="preserve">Table 4 </w:t>
      </w:r>
      <w:r w:rsidRPr="00956C5F">
        <w:rPr>
          <w:sz w:val="22"/>
        </w:rPr>
        <w:t>Comparison of adsorption capacity of different adsorbents for the adsorption of Chromium (VI)</w:t>
      </w:r>
      <w:r w:rsidR="00FC22D0" w:rsidRPr="00956C5F">
        <w:rPr>
          <w:sz w:val="22"/>
        </w:rPr>
        <w:t xml:space="preserve">  </w:t>
      </w:r>
    </w:p>
    <w:tbl>
      <w:tblPr>
        <w:tblStyle w:val="LightShading-Accent1"/>
        <w:tblW w:w="9567" w:type="dxa"/>
        <w:tblLook w:val="04A0" w:firstRow="1" w:lastRow="0" w:firstColumn="1" w:lastColumn="0" w:noHBand="0" w:noVBand="1"/>
      </w:tblPr>
      <w:tblGrid>
        <w:gridCol w:w="2808"/>
        <w:gridCol w:w="3420"/>
        <w:gridCol w:w="1248"/>
        <w:gridCol w:w="236"/>
        <w:gridCol w:w="685"/>
        <w:gridCol w:w="275"/>
        <w:gridCol w:w="895"/>
      </w:tblGrid>
      <w:tr w:rsidR="007841B3" w:rsidRPr="00956C5F" w14:paraId="6E798FA9" w14:textId="77777777" w:rsidTr="002A6F6E">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08" w:type="dxa"/>
            <w:hideMark/>
          </w:tcPr>
          <w:p w14:paraId="0E013677" w14:textId="77777777" w:rsidR="007841B3" w:rsidRPr="00956C5F" w:rsidRDefault="007841B3" w:rsidP="00956C5F">
            <w:pPr>
              <w:spacing w:line="360" w:lineRule="auto"/>
              <w:rPr>
                <w:rFonts w:eastAsia="Times New Roman"/>
                <w:color w:val="000000"/>
                <w:sz w:val="22"/>
              </w:rPr>
            </w:pPr>
            <w:r w:rsidRPr="00956C5F">
              <w:rPr>
                <w:rFonts w:eastAsia="Times New Roman"/>
                <w:color w:val="000000"/>
                <w:sz w:val="22"/>
              </w:rPr>
              <w:t>Adsorbents</w:t>
            </w:r>
          </w:p>
        </w:tc>
        <w:tc>
          <w:tcPr>
            <w:tcW w:w="3420" w:type="dxa"/>
            <w:hideMark/>
          </w:tcPr>
          <w:p w14:paraId="5F93365D" w14:textId="77777777" w:rsidR="007841B3" w:rsidRPr="00956C5F" w:rsidRDefault="007841B3" w:rsidP="00956C5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olor w:val="000000"/>
                <w:sz w:val="22"/>
              </w:rPr>
            </w:pPr>
            <w:r w:rsidRPr="00956C5F">
              <w:rPr>
                <w:rFonts w:eastAsia="Times New Roman"/>
                <w:color w:val="000000"/>
                <w:sz w:val="22"/>
              </w:rPr>
              <w:t xml:space="preserve">Adsorbent capacity </w:t>
            </w:r>
            <w:proofErr w:type="spellStart"/>
            <w:r w:rsidRPr="00956C5F">
              <w:rPr>
                <w:rFonts w:eastAsia="Times New Roman"/>
                <w:color w:val="000000"/>
                <w:sz w:val="22"/>
              </w:rPr>
              <w:t>Qm</w:t>
            </w:r>
            <w:proofErr w:type="spellEnd"/>
            <w:r w:rsidRPr="00956C5F">
              <w:rPr>
                <w:rFonts w:eastAsia="Times New Roman"/>
                <w:color w:val="000000"/>
                <w:sz w:val="22"/>
              </w:rPr>
              <w:t xml:space="preserve"> (mg g</w:t>
            </w:r>
            <w:r w:rsidRPr="00956C5F">
              <w:rPr>
                <w:rFonts w:eastAsia="Times New Roman"/>
                <w:color w:val="000000"/>
                <w:sz w:val="22"/>
                <w:vertAlign w:val="superscript"/>
              </w:rPr>
              <w:t>–1</w:t>
            </w:r>
            <w:r w:rsidRPr="00956C5F">
              <w:rPr>
                <w:rFonts w:eastAsia="Times New Roman"/>
                <w:color w:val="000000"/>
                <w:sz w:val="22"/>
              </w:rPr>
              <w:t>)</w:t>
            </w:r>
          </w:p>
        </w:tc>
        <w:tc>
          <w:tcPr>
            <w:tcW w:w="2169" w:type="dxa"/>
            <w:gridSpan w:val="3"/>
            <w:noWrap/>
            <w:hideMark/>
          </w:tcPr>
          <w:p w14:paraId="2D998466" w14:textId="77777777" w:rsidR="007841B3" w:rsidRPr="00956C5F" w:rsidRDefault="007841B3" w:rsidP="00956C5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olor w:val="000000"/>
                <w:sz w:val="22"/>
              </w:rPr>
            </w:pPr>
            <w:r w:rsidRPr="00956C5F">
              <w:rPr>
                <w:rFonts w:eastAsia="Times New Roman"/>
                <w:color w:val="000000"/>
                <w:sz w:val="22"/>
              </w:rPr>
              <w:t>Reference</w:t>
            </w:r>
          </w:p>
        </w:tc>
        <w:tc>
          <w:tcPr>
            <w:tcW w:w="275" w:type="dxa"/>
            <w:noWrap/>
            <w:hideMark/>
          </w:tcPr>
          <w:p w14:paraId="75790522" w14:textId="77777777" w:rsidR="007841B3" w:rsidRPr="00956C5F" w:rsidRDefault="007841B3" w:rsidP="00956C5F">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rPr>
            </w:pPr>
          </w:p>
        </w:tc>
        <w:tc>
          <w:tcPr>
            <w:tcW w:w="895" w:type="dxa"/>
            <w:noWrap/>
            <w:hideMark/>
          </w:tcPr>
          <w:p w14:paraId="3EC6DF84" w14:textId="77777777" w:rsidR="007841B3" w:rsidRPr="00956C5F" w:rsidRDefault="007841B3" w:rsidP="00956C5F">
            <w:pPr>
              <w:spacing w:line="36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rPr>
            </w:pPr>
          </w:p>
        </w:tc>
      </w:tr>
      <w:tr w:rsidR="007841B3" w:rsidRPr="00956C5F" w14:paraId="18346484" w14:textId="77777777" w:rsidTr="002A6F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08" w:type="dxa"/>
            <w:hideMark/>
          </w:tcPr>
          <w:p w14:paraId="488935E3" w14:textId="77777777" w:rsidR="007841B3" w:rsidRPr="00956C5F" w:rsidRDefault="007841B3" w:rsidP="00956C5F">
            <w:pPr>
              <w:spacing w:line="360" w:lineRule="auto"/>
              <w:rPr>
                <w:rFonts w:eastAsia="Times New Roman"/>
                <w:color w:val="231F20"/>
                <w:sz w:val="22"/>
              </w:rPr>
            </w:pPr>
            <w:r w:rsidRPr="00956C5F">
              <w:rPr>
                <w:rFonts w:eastAsia="Times New Roman"/>
                <w:color w:val="231F20"/>
                <w:sz w:val="22"/>
              </w:rPr>
              <w:t>Common ﬁg(Ficus carica)</w:t>
            </w:r>
          </w:p>
        </w:tc>
        <w:tc>
          <w:tcPr>
            <w:tcW w:w="3420" w:type="dxa"/>
            <w:hideMark/>
          </w:tcPr>
          <w:p w14:paraId="52E52A18" w14:textId="77777777" w:rsidR="007841B3" w:rsidRPr="00956C5F" w:rsidRDefault="007841B3" w:rsidP="00956C5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rPr>
            </w:pPr>
            <w:r w:rsidRPr="00956C5F">
              <w:rPr>
                <w:rFonts w:eastAsia="Times New Roman"/>
                <w:color w:val="000000"/>
                <w:sz w:val="22"/>
              </w:rPr>
              <w:t>28.9</w:t>
            </w:r>
          </w:p>
        </w:tc>
        <w:tc>
          <w:tcPr>
            <w:tcW w:w="2169" w:type="dxa"/>
            <w:gridSpan w:val="3"/>
            <w:noWrap/>
            <w:hideMark/>
          </w:tcPr>
          <w:p w14:paraId="3C8CB263" w14:textId="77777777" w:rsidR="007841B3" w:rsidRPr="00956C5F" w:rsidRDefault="007841B3" w:rsidP="00956C5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222222"/>
                <w:sz w:val="22"/>
              </w:rPr>
            </w:pPr>
            <w:r w:rsidRPr="00956C5F">
              <w:rPr>
                <w:rFonts w:eastAsia="Times New Roman"/>
                <w:color w:val="222222"/>
                <w:sz w:val="22"/>
              </w:rPr>
              <w:t xml:space="preserve">Gupta et al., 2013 </w:t>
            </w:r>
          </w:p>
        </w:tc>
        <w:tc>
          <w:tcPr>
            <w:tcW w:w="275" w:type="dxa"/>
            <w:noWrap/>
            <w:hideMark/>
          </w:tcPr>
          <w:p w14:paraId="7CA4475E" w14:textId="77777777" w:rsidR="007841B3" w:rsidRPr="00956C5F" w:rsidRDefault="007841B3" w:rsidP="00956C5F">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2"/>
              </w:rPr>
            </w:pPr>
          </w:p>
        </w:tc>
        <w:tc>
          <w:tcPr>
            <w:tcW w:w="895" w:type="dxa"/>
            <w:noWrap/>
            <w:hideMark/>
          </w:tcPr>
          <w:p w14:paraId="4552E552" w14:textId="77777777" w:rsidR="007841B3" w:rsidRPr="00956C5F" w:rsidRDefault="007841B3" w:rsidP="00956C5F">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2"/>
              </w:rPr>
            </w:pPr>
          </w:p>
        </w:tc>
      </w:tr>
      <w:tr w:rsidR="007841B3" w:rsidRPr="00956C5F" w14:paraId="3E863CDD" w14:textId="77777777" w:rsidTr="002A6F6E">
        <w:trPr>
          <w:trHeight w:val="315"/>
        </w:trPr>
        <w:tc>
          <w:tcPr>
            <w:cnfStyle w:val="001000000000" w:firstRow="0" w:lastRow="0" w:firstColumn="1" w:lastColumn="0" w:oddVBand="0" w:evenVBand="0" w:oddHBand="0" w:evenHBand="0" w:firstRowFirstColumn="0" w:firstRowLastColumn="0" w:lastRowFirstColumn="0" w:lastRowLastColumn="0"/>
            <w:tcW w:w="2808" w:type="dxa"/>
            <w:hideMark/>
          </w:tcPr>
          <w:p w14:paraId="2D00DABF" w14:textId="77777777" w:rsidR="007841B3" w:rsidRPr="00956C5F" w:rsidRDefault="007841B3" w:rsidP="00956C5F">
            <w:pPr>
              <w:spacing w:line="360" w:lineRule="auto"/>
              <w:rPr>
                <w:rFonts w:eastAsia="Times New Roman"/>
                <w:color w:val="231F20"/>
                <w:sz w:val="22"/>
              </w:rPr>
            </w:pPr>
            <w:r w:rsidRPr="00956C5F">
              <w:rPr>
                <w:rFonts w:eastAsia="Times New Roman"/>
                <w:color w:val="231F20"/>
                <w:sz w:val="22"/>
              </w:rPr>
              <w:t xml:space="preserve">Rice straw </w:t>
            </w:r>
          </w:p>
        </w:tc>
        <w:tc>
          <w:tcPr>
            <w:tcW w:w="3420" w:type="dxa"/>
            <w:hideMark/>
          </w:tcPr>
          <w:p w14:paraId="14D48D1C" w14:textId="77777777" w:rsidR="007841B3" w:rsidRPr="00956C5F" w:rsidRDefault="007841B3" w:rsidP="00956C5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231F20"/>
                <w:sz w:val="22"/>
              </w:rPr>
            </w:pPr>
            <w:r w:rsidRPr="00956C5F">
              <w:rPr>
                <w:rFonts w:eastAsia="Times New Roman"/>
                <w:color w:val="231F20"/>
                <w:sz w:val="22"/>
              </w:rPr>
              <w:t>3.15</w:t>
            </w:r>
          </w:p>
        </w:tc>
        <w:tc>
          <w:tcPr>
            <w:tcW w:w="2169" w:type="dxa"/>
            <w:gridSpan w:val="3"/>
            <w:noWrap/>
            <w:hideMark/>
          </w:tcPr>
          <w:p w14:paraId="393615BB" w14:textId="77777777" w:rsidR="007841B3" w:rsidRPr="00956C5F" w:rsidRDefault="007841B3" w:rsidP="00956C5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2"/>
              </w:rPr>
            </w:pPr>
            <w:r w:rsidRPr="00956C5F">
              <w:rPr>
                <w:rFonts w:eastAsia="Times New Roman"/>
                <w:color w:val="000000"/>
                <w:sz w:val="22"/>
              </w:rPr>
              <w:t>Gao et al., 2008</w:t>
            </w:r>
          </w:p>
        </w:tc>
        <w:tc>
          <w:tcPr>
            <w:tcW w:w="275" w:type="dxa"/>
            <w:noWrap/>
            <w:hideMark/>
          </w:tcPr>
          <w:p w14:paraId="6AEC875D" w14:textId="77777777" w:rsidR="007841B3" w:rsidRPr="00956C5F" w:rsidRDefault="007841B3" w:rsidP="00956C5F">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rPr>
            </w:pPr>
          </w:p>
        </w:tc>
        <w:tc>
          <w:tcPr>
            <w:tcW w:w="895" w:type="dxa"/>
            <w:noWrap/>
            <w:hideMark/>
          </w:tcPr>
          <w:p w14:paraId="0F11F239" w14:textId="77777777" w:rsidR="007841B3" w:rsidRPr="00956C5F" w:rsidRDefault="007841B3" w:rsidP="00956C5F">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rPr>
            </w:pPr>
          </w:p>
        </w:tc>
      </w:tr>
      <w:tr w:rsidR="007841B3" w:rsidRPr="00956C5F" w14:paraId="4E5D4F77" w14:textId="77777777" w:rsidTr="002A6F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08" w:type="dxa"/>
            <w:hideMark/>
          </w:tcPr>
          <w:p w14:paraId="3ED9C10D" w14:textId="77777777" w:rsidR="007841B3" w:rsidRPr="00956C5F" w:rsidRDefault="007841B3" w:rsidP="00956C5F">
            <w:pPr>
              <w:spacing w:line="360" w:lineRule="auto"/>
              <w:rPr>
                <w:rFonts w:eastAsia="Times New Roman"/>
                <w:color w:val="231F20"/>
                <w:sz w:val="22"/>
              </w:rPr>
            </w:pPr>
            <w:r w:rsidRPr="00956C5F">
              <w:rPr>
                <w:rFonts w:eastAsia="Times New Roman"/>
                <w:color w:val="231F20"/>
                <w:sz w:val="22"/>
              </w:rPr>
              <w:t xml:space="preserve">Modiﬁed oak sawdust  </w:t>
            </w:r>
          </w:p>
        </w:tc>
        <w:tc>
          <w:tcPr>
            <w:tcW w:w="3420" w:type="dxa"/>
            <w:hideMark/>
          </w:tcPr>
          <w:p w14:paraId="42CFF699" w14:textId="77777777" w:rsidR="007841B3" w:rsidRPr="00956C5F" w:rsidRDefault="007841B3" w:rsidP="00956C5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rPr>
            </w:pPr>
            <w:r w:rsidRPr="00956C5F">
              <w:rPr>
                <w:rFonts w:eastAsia="Times New Roman"/>
                <w:color w:val="000000"/>
                <w:sz w:val="22"/>
              </w:rPr>
              <w:t>1.7</w:t>
            </w:r>
          </w:p>
        </w:tc>
        <w:tc>
          <w:tcPr>
            <w:tcW w:w="2169" w:type="dxa"/>
            <w:gridSpan w:val="3"/>
            <w:noWrap/>
            <w:hideMark/>
          </w:tcPr>
          <w:p w14:paraId="3F34347B" w14:textId="77777777" w:rsidR="007841B3" w:rsidRPr="00956C5F" w:rsidRDefault="007841B3" w:rsidP="00956C5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22"/>
              </w:rPr>
            </w:pPr>
            <w:proofErr w:type="spellStart"/>
            <w:r w:rsidRPr="00956C5F">
              <w:rPr>
                <w:rFonts w:eastAsia="Times New Roman"/>
                <w:color w:val="000000"/>
                <w:sz w:val="22"/>
              </w:rPr>
              <w:t>Argun</w:t>
            </w:r>
            <w:proofErr w:type="spellEnd"/>
            <w:r w:rsidRPr="00956C5F">
              <w:rPr>
                <w:rFonts w:eastAsia="Times New Roman"/>
                <w:color w:val="000000"/>
                <w:sz w:val="22"/>
              </w:rPr>
              <w:t xml:space="preserve"> et al.,2007</w:t>
            </w:r>
          </w:p>
        </w:tc>
        <w:tc>
          <w:tcPr>
            <w:tcW w:w="275" w:type="dxa"/>
            <w:noWrap/>
            <w:hideMark/>
          </w:tcPr>
          <w:p w14:paraId="50CE37E9" w14:textId="77777777" w:rsidR="007841B3" w:rsidRPr="00956C5F" w:rsidRDefault="007841B3" w:rsidP="00956C5F">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2"/>
              </w:rPr>
            </w:pPr>
          </w:p>
        </w:tc>
        <w:tc>
          <w:tcPr>
            <w:tcW w:w="895" w:type="dxa"/>
            <w:noWrap/>
            <w:hideMark/>
          </w:tcPr>
          <w:p w14:paraId="1243CEB2" w14:textId="77777777" w:rsidR="007841B3" w:rsidRPr="00956C5F" w:rsidRDefault="007841B3" w:rsidP="00956C5F">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2"/>
              </w:rPr>
            </w:pPr>
          </w:p>
        </w:tc>
      </w:tr>
      <w:tr w:rsidR="007841B3" w:rsidRPr="00956C5F" w14:paraId="6450962B" w14:textId="77777777" w:rsidTr="002A6F6E">
        <w:trPr>
          <w:trHeight w:val="315"/>
        </w:trPr>
        <w:tc>
          <w:tcPr>
            <w:cnfStyle w:val="001000000000" w:firstRow="0" w:lastRow="0" w:firstColumn="1" w:lastColumn="0" w:oddVBand="0" w:evenVBand="0" w:oddHBand="0" w:evenHBand="0" w:firstRowFirstColumn="0" w:firstRowLastColumn="0" w:lastRowFirstColumn="0" w:lastRowLastColumn="0"/>
            <w:tcW w:w="2808" w:type="dxa"/>
            <w:hideMark/>
          </w:tcPr>
          <w:p w14:paraId="6CBE6909" w14:textId="77777777" w:rsidR="007841B3" w:rsidRPr="00956C5F" w:rsidRDefault="007841B3" w:rsidP="00956C5F">
            <w:pPr>
              <w:spacing w:line="360" w:lineRule="auto"/>
              <w:rPr>
                <w:rFonts w:eastAsia="Times New Roman"/>
                <w:color w:val="000000"/>
                <w:sz w:val="22"/>
              </w:rPr>
            </w:pPr>
            <w:r w:rsidRPr="00956C5F">
              <w:rPr>
                <w:rFonts w:eastAsia="Times New Roman"/>
                <w:color w:val="000000"/>
                <w:sz w:val="22"/>
              </w:rPr>
              <w:t>Eucalyptus bark</w:t>
            </w:r>
          </w:p>
        </w:tc>
        <w:tc>
          <w:tcPr>
            <w:tcW w:w="3420" w:type="dxa"/>
            <w:hideMark/>
          </w:tcPr>
          <w:p w14:paraId="5FD0722F" w14:textId="77777777" w:rsidR="007841B3" w:rsidRPr="00956C5F" w:rsidRDefault="007841B3" w:rsidP="00956C5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rPr>
            </w:pPr>
            <w:r w:rsidRPr="00956C5F">
              <w:rPr>
                <w:rFonts w:eastAsia="Times New Roman"/>
                <w:color w:val="000000"/>
                <w:sz w:val="22"/>
              </w:rPr>
              <w:t>45</w:t>
            </w:r>
          </w:p>
        </w:tc>
        <w:tc>
          <w:tcPr>
            <w:tcW w:w="2169" w:type="dxa"/>
            <w:gridSpan w:val="3"/>
            <w:noWrap/>
            <w:hideMark/>
          </w:tcPr>
          <w:p w14:paraId="5AB94EE9" w14:textId="77777777" w:rsidR="007841B3" w:rsidRPr="00956C5F" w:rsidRDefault="007841B3" w:rsidP="00956C5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222222"/>
                <w:sz w:val="22"/>
              </w:rPr>
            </w:pPr>
            <w:r w:rsidRPr="00956C5F">
              <w:rPr>
                <w:rFonts w:eastAsia="Times New Roman"/>
                <w:color w:val="222222"/>
                <w:sz w:val="22"/>
              </w:rPr>
              <w:t>Sarin &amp; Pant, 2006)</w:t>
            </w:r>
          </w:p>
        </w:tc>
        <w:tc>
          <w:tcPr>
            <w:tcW w:w="275" w:type="dxa"/>
            <w:noWrap/>
            <w:hideMark/>
          </w:tcPr>
          <w:p w14:paraId="121538AF" w14:textId="77777777" w:rsidR="007841B3" w:rsidRPr="00956C5F" w:rsidRDefault="007841B3" w:rsidP="00956C5F">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rPr>
            </w:pPr>
          </w:p>
        </w:tc>
        <w:tc>
          <w:tcPr>
            <w:tcW w:w="895" w:type="dxa"/>
            <w:noWrap/>
            <w:hideMark/>
          </w:tcPr>
          <w:p w14:paraId="532C4499" w14:textId="77777777" w:rsidR="007841B3" w:rsidRPr="00956C5F" w:rsidRDefault="007841B3" w:rsidP="00956C5F">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rPr>
            </w:pPr>
          </w:p>
        </w:tc>
      </w:tr>
      <w:tr w:rsidR="007841B3" w:rsidRPr="00956C5F" w14:paraId="6D73C95D" w14:textId="77777777" w:rsidTr="002A6F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08" w:type="dxa"/>
            <w:hideMark/>
          </w:tcPr>
          <w:p w14:paraId="029DE1BE" w14:textId="77777777" w:rsidR="007841B3" w:rsidRPr="00956C5F" w:rsidRDefault="007841B3" w:rsidP="00956C5F">
            <w:pPr>
              <w:spacing w:line="360" w:lineRule="auto"/>
              <w:rPr>
                <w:rFonts w:eastAsia="Times New Roman"/>
                <w:color w:val="000000"/>
                <w:sz w:val="22"/>
              </w:rPr>
            </w:pPr>
            <w:r w:rsidRPr="00956C5F">
              <w:rPr>
                <w:rFonts w:eastAsia="Times New Roman"/>
                <w:color w:val="000000"/>
                <w:sz w:val="22"/>
              </w:rPr>
              <w:t xml:space="preserve">Vesicular basalt rock </w:t>
            </w:r>
          </w:p>
        </w:tc>
        <w:tc>
          <w:tcPr>
            <w:tcW w:w="3420" w:type="dxa"/>
            <w:hideMark/>
          </w:tcPr>
          <w:p w14:paraId="7DE9DBA2" w14:textId="77777777" w:rsidR="007841B3" w:rsidRPr="00956C5F" w:rsidRDefault="007841B3" w:rsidP="00956C5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rPr>
            </w:pPr>
            <w:r w:rsidRPr="00956C5F">
              <w:rPr>
                <w:rFonts w:eastAsia="Times New Roman"/>
                <w:color w:val="000000"/>
                <w:sz w:val="22"/>
              </w:rPr>
              <w:t>0.079</w:t>
            </w:r>
          </w:p>
        </w:tc>
        <w:tc>
          <w:tcPr>
            <w:tcW w:w="2169" w:type="dxa"/>
            <w:gridSpan w:val="3"/>
            <w:noWrap/>
            <w:hideMark/>
          </w:tcPr>
          <w:p w14:paraId="0F9BDD1A" w14:textId="77777777" w:rsidR="007841B3" w:rsidRPr="00956C5F" w:rsidRDefault="007841B3" w:rsidP="00956C5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000000"/>
                <w:sz w:val="22"/>
              </w:rPr>
            </w:pPr>
            <w:r w:rsidRPr="00956C5F">
              <w:rPr>
                <w:rFonts w:eastAsia="Times New Roman"/>
                <w:color w:val="000000"/>
                <w:sz w:val="22"/>
              </w:rPr>
              <w:t>Alemu et al., 2019</w:t>
            </w:r>
          </w:p>
        </w:tc>
        <w:tc>
          <w:tcPr>
            <w:tcW w:w="275" w:type="dxa"/>
            <w:noWrap/>
            <w:hideMark/>
          </w:tcPr>
          <w:p w14:paraId="697DF39A" w14:textId="77777777" w:rsidR="007841B3" w:rsidRPr="00956C5F" w:rsidRDefault="007841B3" w:rsidP="00956C5F">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2"/>
              </w:rPr>
            </w:pPr>
          </w:p>
        </w:tc>
        <w:tc>
          <w:tcPr>
            <w:tcW w:w="895" w:type="dxa"/>
            <w:noWrap/>
            <w:hideMark/>
          </w:tcPr>
          <w:p w14:paraId="1FF74DE3" w14:textId="77777777" w:rsidR="007841B3" w:rsidRPr="00956C5F" w:rsidRDefault="007841B3" w:rsidP="00956C5F">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2"/>
              </w:rPr>
            </w:pPr>
          </w:p>
        </w:tc>
      </w:tr>
      <w:tr w:rsidR="007841B3" w:rsidRPr="00956C5F" w14:paraId="276AFCBF" w14:textId="77777777" w:rsidTr="002A6F6E">
        <w:trPr>
          <w:trHeight w:val="315"/>
        </w:trPr>
        <w:tc>
          <w:tcPr>
            <w:cnfStyle w:val="001000000000" w:firstRow="0" w:lastRow="0" w:firstColumn="1" w:lastColumn="0" w:oddVBand="0" w:evenVBand="0" w:oddHBand="0" w:evenHBand="0" w:firstRowFirstColumn="0" w:firstRowLastColumn="0" w:lastRowFirstColumn="0" w:lastRowLastColumn="0"/>
            <w:tcW w:w="2808" w:type="dxa"/>
            <w:hideMark/>
          </w:tcPr>
          <w:p w14:paraId="0E00F511" w14:textId="77777777" w:rsidR="007841B3" w:rsidRPr="00956C5F" w:rsidRDefault="007841B3" w:rsidP="00956C5F">
            <w:pPr>
              <w:spacing w:line="360" w:lineRule="auto"/>
              <w:rPr>
                <w:rFonts w:eastAsia="Times New Roman"/>
                <w:color w:val="000000"/>
                <w:sz w:val="22"/>
              </w:rPr>
            </w:pPr>
            <w:r w:rsidRPr="00956C5F">
              <w:rPr>
                <w:rFonts w:eastAsia="Times New Roman"/>
                <w:color w:val="000000"/>
                <w:sz w:val="22"/>
              </w:rPr>
              <w:t xml:space="preserve"> </w:t>
            </w:r>
            <w:r w:rsidRPr="00956C5F">
              <w:rPr>
                <w:rFonts w:eastAsia="Times New Roman"/>
                <w:color w:val="1F1F1F"/>
                <w:sz w:val="22"/>
              </w:rPr>
              <w:t>Kaolinite</w:t>
            </w:r>
          </w:p>
        </w:tc>
        <w:tc>
          <w:tcPr>
            <w:tcW w:w="3420" w:type="dxa"/>
            <w:hideMark/>
          </w:tcPr>
          <w:p w14:paraId="55C63F74" w14:textId="77777777" w:rsidR="007841B3" w:rsidRPr="00956C5F" w:rsidRDefault="007841B3" w:rsidP="00956C5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rPr>
            </w:pPr>
            <w:r w:rsidRPr="00956C5F">
              <w:rPr>
                <w:rFonts w:eastAsia="Times New Roman"/>
                <w:color w:val="000000"/>
                <w:sz w:val="22"/>
              </w:rPr>
              <w:t>6.1</w:t>
            </w:r>
          </w:p>
        </w:tc>
        <w:tc>
          <w:tcPr>
            <w:tcW w:w="3339" w:type="dxa"/>
            <w:gridSpan w:val="5"/>
            <w:noWrap/>
            <w:hideMark/>
          </w:tcPr>
          <w:p w14:paraId="317D1A69" w14:textId="77777777" w:rsidR="007841B3" w:rsidRPr="00956C5F" w:rsidRDefault="007841B3" w:rsidP="00956C5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222222"/>
                <w:sz w:val="22"/>
              </w:rPr>
            </w:pPr>
            <w:r w:rsidRPr="00956C5F">
              <w:rPr>
                <w:rFonts w:eastAsia="Times New Roman"/>
                <w:color w:val="222222"/>
                <w:sz w:val="22"/>
              </w:rPr>
              <w:t>Bhattacharyya &amp; Sen Gupta (2006)</w:t>
            </w:r>
          </w:p>
        </w:tc>
      </w:tr>
      <w:tr w:rsidR="007841B3" w:rsidRPr="00956C5F" w14:paraId="1A2E0616" w14:textId="77777777" w:rsidTr="002A6F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08" w:type="dxa"/>
            <w:noWrap/>
            <w:hideMark/>
          </w:tcPr>
          <w:p w14:paraId="4E6EF39E" w14:textId="77777777" w:rsidR="007841B3" w:rsidRPr="00956C5F" w:rsidRDefault="007841B3" w:rsidP="00956C5F">
            <w:pPr>
              <w:spacing w:line="360" w:lineRule="auto"/>
              <w:rPr>
                <w:rFonts w:eastAsia="Times New Roman"/>
                <w:color w:val="000000"/>
                <w:sz w:val="22"/>
              </w:rPr>
            </w:pPr>
            <w:r w:rsidRPr="00956C5F">
              <w:rPr>
                <w:rFonts w:eastAsia="Times New Roman"/>
                <w:color w:val="000000"/>
                <w:sz w:val="22"/>
              </w:rPr>
              <w:t>Clay (treated)</w:t>
            </w:r>
          </w:p>
        </w:tc>
        <w:tc>
          <w:tcPr>
            <w:tcW w:w="3420" w:type="dxa"/>
            <w:hideMark/>
          </w:tcPr>
          <w:p w14:paraId="1184D223" w14:textId="77777777" w:rsidR="007841B3" w:rsidRPr="00956C5F" w:rsidRDefault="007841B3" w:rsidP="00956C5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2"/>
              </w:rPr>
            </w:pPr>
            <w:r w:rsidRPr="00956C5F">
              <w:rPr>
                <w:rFonts w:eastAsia="Times New Roman"/>
                <w:color w:val="000000"/>
                <w:sz w:val="22"/>
              </w:rPr>
              <w:t>0.2</w:t>
            </w:r>
          </w:p>
        </w:tc>
        <w:tc>
          <w:tcPr>
            <w:tcW w:w="3339" w:type="dxa"/>
            <w:gridSpan w:val="5"/>
            <w:noWrap/>
            <w:hideMark/>
          </w:tcPr>
          <w:p w14:paraId="2F7E451C" w14:textId="77777777" w:rsidR="007841B3" w:rsidRPr="00956C5F" w:rsidRDefault="007841B3" w:rsidP="00956C5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olor w:val="222222"/>
                <w:sz w:val="22"/>
              </w:rPr>
            </w:pPr>
            <w:r w:rsidRPr="00956C5F">
              <w:rPr>
                <w:rFonts w:eastAsia="Times New Roman"/>
                <w:color w:val="222222"/>
                <w:sz w:val="22"/>
              </w:rPr>
              <w:t>Khan, T. A., &amp; Singh, V. V. (2010)</w:t>
            </w:r>
          </w:p>
        </w:tc>
      </w:tr>
      <w:tr w:rsidR="007841B3" w:rsidRPr="00956C5F" w14:paraId="619D7455" w14:textId="77777777" w:rsidTr="002A6F6E">
        <w:trPr>
          <w:trHeight w:val="315"/>
        </w:trPr>
        <w:tc>
          <w:tcPr>
            <w:cnfStyle w:val="001000000000" w:firstRow="0" w:lastRow="0" w:firstColumn="1" w:lastColumn="0" w:oddVBand="0" w:evenVBand="0" w:oddHBand="0" w:evenHBand="0" w:firstRowFirstColumn="0" w:firstRowLastColumn="0" w:lastRowFirstColumn="0" w:lastRowLastColumn="0"/>
            <w:tcW w:w="2808" w:type="dxa"/>
            <w:hideMark/>
          </w:tcPr>
          <w:p w14:paraId="72AC3555" w14:textId="77777777" w:rsidR="007841B3" w:rsidRPr="00956C5F" w:rsidRDefault="008D705D" w:rsidP="00956C5F">
            <w:pPr>
              <w:spacing w:line="360" w:lineRule="auto"/>
              <w:rPr>
                <w:rFonts w:eastAsia="Times New Roman"/>
                <w:color w:val="000000"/>
                <w:sz w:val="22"/>
              </w:rPr>
            </w:pPr>
            <w:r w:rsidRPr="00956C5F">
              <w:rPr>
                <w:rFonts w:eastAsia="Times New Roman"/>
                <w:color w:val="000000"/>
                <w:sz w:val="22"/>
              </w:rPr>
              <w:t>Powdered marble</w:t>
            </w:r>
          </w:p>
        </w:tc>
        <w:tc>
          <w:tcPr>
            <w:tcW w:w="3420" w:type="dxa"/>
            <w:noWrap/>
            <w:hideMark/>
          </w:tcPr>
          <w:p w14:paraId="5386F8AF" w14:textId="77777777" w:rsidR="007841B3" w:rsidRPr="00956C5F" w:rsidRDefault="008D705D" w:rsidP="00956C5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2"/>
              </w:rPr>
            </w:pPr>
            <w:r w:rsidRPr="00956C5F">
              <w:rPr>
                <w:rFonts w:eastAsia="Times New Roman"/>
                <w:color w:val="000000"/>
                <w:sz w:val="22"/>
              </w:rPr>
              <w:t>33.6</w:t>
            </w:r>
          </w:p>
        </w:tc>
        <w:tc>
          <w:tcPr>
            <w:tcW w:w="1248" w:type="dxa"/>
            <w:noWrap/>
            <w:hideMark/>
          </w:tcPr>
          <w:p w14:paraId="7BFF46AF" w14:textId="77777777" w:rsidR="007841B3" w:rsidRPr="00956C5F" w:rsidRDefault="008D705D" w:rsidP="00956C5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2"/>
              </w:rPr>
            </w:pPr>
            <w:r w:rsidRPr="00956C5F">
              <w:rPr>
                <w:rFonts w:eastAsia="Times New Roman"/>
                <w:color w:val="000000"/>
                <w:sz w:val="22"/>
              </w:rPr>
              <w:t>This study</w:t>
            </w:r>
          </w:p>
        </w:tc>
        <w:tc>
          <w:tcPr>
            <w:tcW w:w="236" w:type="dxa"/>
            <w:noWrap/>
            <w:hideMark/>
          </w:tcPr>
          <w:p w14:paraId="0B47A41C" w14:textId="77777777" w:rsidR="007841B3" w:rsidRPr="00956C5F" w:rsidRDefault="007841B3" w:rsidP="00956C5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2"/>
              </w:rPr>
            </w:pPr>
          </w:p>
        </w:tc>
        <w:tc>
          <w:tcPr>
            <w:tcW w:w="960" w:type="dxa"/>
            <w:gridSpan w:val="2"/>
            <w:noWrap/>
            <w:hideMark/>
          </w:tcPr>
          <w:p w14:paraId="566F7573" w14:textId="77777777" w:rsidR="007841B3" w:rsidRPr="00956C5F" w:rsidRDefault="007841B3" w:rsidP="00956C5F">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rPr>
            </w:pPr>
          </w:p>
        </w:tc>
        <w:tc>
          <w:tcPr>
            <w:tcW w:w="895" w:type="dxa"/>
            <w:noWrap/>
            <w:hideMark/>
          </w:tcPr>
          <w:p w14:paraId="0CF9AE39" w14:textId="77777777" w:rsidR="007841B3" w:rsidRPr="00956C5F" w:rsidRDefault="007841B3" w:rsidP="00956C5F">
            <w:pPr>
              <w:spacing w:line="36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rPr>
            </w:pPr>
          </w:p>
        </w:tc>
      </w:tr>
    </w:tbl>
    <w:p w14:paraId="7084C07C" w14:textId="77777777" w:rsidR="006661ED" w:rsidRPr="00956C5F" w:rsidRDefault="006661ED" w:rsidP="00956C5F">
      <w:pPr>
        <w:autoSpaceDE w:val="0"/>
        <w:autoSpaceDN w:val="0"/>
        <w:adjustRightInd w:val="0"/>
        <w:spacing w:after="0" w:line="360" w:lineRule="auto"/>
        <w:jc w:val="both"/>
        <w:rPr>
          <w:sz w:val="22"/>
        </w:rPr>
      </w:pPr>
      <w:r w:rsidRPr="00956C5F">
        <w:rPr>
          <w:sz w:val="22"/>
        </w:rPr>
        <w:t xml:space="preserve">                         </w:t>
      </w:r>
    </w:p>
    <w:p w14:paraId="2FD94C8F" w14:textId="77777777" w:rsidR="006661ED" w:rsidRPr="00B51DFB" w:rsidRDefault="00FC22D0" w:rsidP="00956C5F">
      <w:pPr>
        <w:pStyle w:val="Heading1"/>
        <w:spacing w:before="0" w:line="360" w:lineRule="auto"/>
        <w:rPr>
          <w:rFonts w:ascii="Times New Roman" w:hAnsi="Times New Roman"/>
          <w:color w:val="auto"/>
          <w:sz w:val="24"/>
          <w:szCs w:val="24"/>
          <w:lang w:val="en-US"/>
        </w:rPr>
      </w:pPr>
      <w:bookmarkStart w:id="38" w:name="_Toc502677851"/>
      <w:r w:rsidRPr="00B51DFB">
        <w:rPr>
          <w:rFonts w:ascii="Times New Roman" w:hAnsi="Times New Roman"/>
          <w:color w:val="auto"/>
          <w:sz w:val="24"/>
          <w:szCs w:val="24"/>
          <w:lang w:val="en-US"/>
        </w:rPr>
        <w:t xml:space="preserve">4. </w:t>
      </w:r>
      <w:r w:rsidR="002A3A23" w:rsidRPr="00B51DFB">
        <w:rPr>
          <w:rFonts w:ascii="Times New Roman" w:hAnsi="Times New Roman"/>
          <w:color w:val="auto"/>
          <w:sz w:val="24"/>
          <w:szCs w:val="24"/>
        </w:rPr>
        <w:t xml:space="preserve">Conclusion </w:t>
      </w:r>
      <w:r w:rsidR="002A3A23" w:rsidRPr="00B51DFB">
        <w:rPr>
          <w:rFonts w:ascii="Times New Roman" w:hAnsi="Times New Roman"/>
          <w:color w:val="auto"/>
          <w:sz w:val="24"/>
          <w:szCs w:val="24"/>
          <w:lang w:val="en-US"/>
        </w:rPr>
        <w:t>a</w:t>
      </w:r>
      <w:r w:rsidR="002A3A23" w:rsidRPr="00B51DFB">
        <w:rPr>
          <w:rFonts w:ascii="Times New Roman" w:hAnsi="Times New Roman"/>
          <w:color w:val="auto"/>
          <w:sz w:val="24"/>
          <w:szCs w:val="24"/>
        </w:rPr>
        <w:t>nd Recommendation</w:t>
      </w:r>
      <w:bookmarkEnd w:id="38"/>
      <w:r w:rsidR="002A3A23" w:rsidRPr="00B51DFB">
        <w:rPr>
          <w:rFonts w:ascii="Times New Roman" w:hAnsi="Times New Roman"/>
          <w:color w:val="auto"/>
          <w:sz w:val="24"/>
          <w:szCs w:val="24"/>
          <w:lang w:val="en-US"/>
        </w:rPr>
        <w:t>s</w:t>
      </w:r>
    </w:p>
    <w:p w14:paraId="3E5AD900" w14:textId="77777777" w:rsidR="000F37D9" w:rsidRPr="00956C5F" w:rsidRDefault="000F37D9" w:rsidP="00956C5F">
      <w:pPr>
        <w:spacing w:line="360" w:lineRule="auto"/>
        <w:rPr>
          <w:sz w:val="22"/>
        </w:rPr>
      </w:pPr>
      <w:r w:rsidRPr="00956C5F">
        <w:rPr>
          <w:sz w:val="22"/>
        </w:rPr>
        <w:t xml:space="preserve">In this study, waste powdered marble chips generated from marble processing industries were evaluated for their efficiency in removing </w:t>
      </w:r>
      <w:proofErr w:type="gramStart"/>
      <w:r w:rsidRPr="00956C5F">
        <w:rPr>
          <w:sz w:val="22"/>
        </w:rPr>
        <w:t>Cr(</w:t>
      </w:r>
      <w:proofErr w:type="gramEnd"/>
      <w:r w:rsidRPr="00956C5F">
        <w:rPr>
          <w:sz w:val="22"/>
        </w:rPr>
        <w:t xml:space="preserve">VI) from aqueous solutions. The adsorbent was characterized using FT-IR and XRD analyses, which revealed that </w:t>
      </w:r>
      <w:proofErr w:type="spellStart"/>
      <w:r w:rsidRPr="00956C5F">
        <w:rPr>
          <w:sz w:val="22"/>
        </w:rPr>
        <w:t>CaCO</w:t>
      </w:r>
      <w:proofErr w:type="spellEnd"/>
      <w:r w:rsidRPr="00956C5F">
        <w:rPr>
          <w:sz w:val="22"/>
        </w:rPr>
        <w:t xml:space="preserve">₃, </w:t>
      </w:r>
      <w:proofErr w:type="spellStart"/>
      <w:r w:rsidRPr="00956C5F">
        <w:rPr>
          <w:sz w:val="22"/>
        </w:rPr>
        <w:t>SiO</w:t>
      </w:r>
      <w:proofErr w:type="spellEnd"/>
      <w:r w:rsidRPr="00956C5F">
        <w:rPr>
          <w:sz w:val="22"/>
        </w:rPr>
        <w:t xml:space="preserve">₂, </w:t>
      </w:r>
      <w:proofErr w:type="gramStart"/>
      <w:r w:rsidRPr="00956C5F">
        <w:rPr>
          <w:sz w:val="22"/>
        </w:rPr>
        <w:t>Mg(</w:t>
      </w:r>
      <w:proofErr w:type="gramEnd"/>
      <w:r w:rsidRPr="00956C5F">
        <w:rPr>
          <w:sz w:val="22"/>
        </w:rPr>
        <w:t xml:space="preserve">OH)₂, and </w:t>
      </w:r>
      <w:proofErr w:type="spellStart"/>
      <w:r w:rsidRPr="00956C5F">
        <w:rPr>
          <w:sz w:val="22"/>
        </w:rPr>
        <w:t>CaMg</w:t>
      </w:r>
      <w:proofErr w:type="spellEnd"/>
      <w:r w:rsidRPr="00956C5F">
        <w:rPr>
          <w:sz w:val="22"/>
        </w:rPr>
        <w:t xml:space="preserve">(CO₃)₂ were the principal constituents of the marble powder. The highest </w:t>
      </w:r>
      <w:proofErr w:type="gramStart"/>
      <w:r w:rsidRPr="00956C5F">
        <w:rPr>
          <w:sz w:val="22"/>
        </w:rPr>
        <w:t>Cr(</w:t>
      </w:r>
      <w:proofErr w:type="gramEnd"/>
      <w:r w:rsidRPr="00956C5F">
        <w:rPr>
          <w:sz w:val="22"/>
        </w:rPr>
        <w:t xml:space="preserve">VI) removal efficiency of 98.15% was achieved under optimal conditions: pH 6, adsorbent dose of 40 g/L, contact time of 12 </w:t>
      </w:r>
      <w:proofErr w:type="spellStart"/>
      <w:r w:rsidR="00611A0A" w:rsidRPr="00956C5F">
        <w:rPr>
          <w:sz w:val="22"/>
        </w:rPr>
        <w:t>hrs</w:t>
      </w:r>
      <w:proofErr w:type="spellEnd"/>
      <w:r w:rsidRPr="00956C5F">
        <w:rPr>
          <w:sz w:val="22"/>
        </w:rPr>
        <w:t xml:space="preserve">, initial Cr(VI) concentration of 20 mg/L, and temperature of 55 °C. The adsorption data closely followed the Langmuir </w:t>
      </w:r>
      <w:r w:rsidRPr="00956C5F">
        <w:rPr>
          <w:sz w:val="22"/>
        </w:rPr>
        <w:lastRenderedPageBreak/>
        <w:t xml:space="preserve">isotherm model (R² = 0.9911), suggesting a homogeneous and favorable adsorption surface. Hence, powdered marble waste shows strong potential as a low-cost and effective adsorbent for </w:t>
      </w:r>
      <w:proofErr w:type="gramStart"/>
      <w:r w:rsidRPr="00956C5F">
        <w:rPr>
          <w:sz w:val="22"/>
        </w:rPr>
        <w:t>Cr(</w:t>
      </w:r>
      <w:proofErr w:type="gramEnd"/>
      <w:r w:rsidRPr="00956C5F">
        <w:rPr>
          <w:sz w:val="22"/>
        </w:rPr>
        <w:t>VI) removal from contaminated water, though further testing with actual industrial effluents is recommended.</w:t>
      </w:r>
    </w:p>
    <w:p w14:paraId="3E43A0AE" w14:textId="77777777" w:rsidR="006661ED" w:rsidRPr="00956C5F" w:rsidRDefault="006661ED" w:rsidP="00956C5F">
      <w:pPr>
        <w:autoSpaceDE w:val="0"/>
        <w:autoSpaceDN w:val="0"/>
        <w:adjustRightInd w:val="0"/>
        <w:spacing w:after="0" w:line="360" w:lineRule="auto"/>
        <w:jc w:val="both"/>
        <w:rPr>
          <w:sz w:val="22"/>
        </w:rPr>
      </w:pPr>
    </w:p>
    <w:p w14:paraId="4377F838" w14:textId="77777777" w:rsidR="004E1A3F" w:rsidRPr="00B51DFB" w:rsidRDefault="004E1A3F" w:rsidP="00956C5F">
      <w:pPr>
        <w:shd w:val="clear" w:color="auto" w:fill="FFFFFF"/>
        <w:spacing w:after="0" w:line="360" w:lineRule="auto"/>
        <w:rPr>
          <w:rFonts w:eastAsia="Times New Roman"/>
          <w:b/>
          <w:szCs w:val="24"/>
        </w:rPr>
      </w:pPr>
      <w:bookmarkStart w:id="39" w:name="_Toc502677854"/>
      <w:r w:rsidRPr="00B51DFB">
        <w:rPr>
          <w:rFonts w:eastAsia="Times New Roman"/>
          <w:b/>
          <w:szCs w:val="24"/>
        </w:rPr>
        <w:t xml:space="preserve">Acknowledgments </w:t>
      </w:r>
    </w:p>
    <w:p w14:paraId="6C7A6158" w14:textId="77777777" w:rsidR="004E1A3F" w:rsidRPr="00956C5F" w:rsidRDefault="004E1A3F" w:rsidP="00956C5F">
      <w:pPr>
        <w:shd w:val="clear" w:color="auto" w:fill="FFFFFF"/>
        <w:spacing w:after="0" w:line="360" w:lineRule="auto"/>
        <w:jc w:val="both"/>
        <w:rPr>
          <w:rFonts w:eastAsia="Times New Roman"/>
          <w:sz w:val="22"/>
        </w:rPr>
      </w:pPr>
      <w:r w:rsidRPr="00956C5F">
        <w:rPr>
          <w:rFonts w:eastAsia="Times New Roman"/>
          <w:sz w:val="22"/>
        </w:rPr>
        <w:t xml:space="preserve">The authors are grateful to the Department of Chemical and Food Engineering, Bahir Dar Institute of Technology, Bahir Dar </w:t>
      </w:r>
      <w:r w:rsidR="002A3A23" w:rsidRPr="00956C5F">
        <w:rPr>
          <w:rFonts w:eastAsia="Times New Roman"/>
          <w:sz w:val="22"/>
        </w:rPr>
        <w:t>University</w:t>
      </w:r>
      <w:r w:rsidRPr="00956C5F">
        <w:rPr>
          <w:rFonts w:eastAsia="Times New Roman"/>
          <w:sz w:val="22"/>
        </w:rPr>
        <w:t xml:space="preserve">, Ethiopia for providing the necessary facility to conduct the study. </w:t>
      </w:r>
    </w:p>
    <w:p w14:paraId="2DF5677A" w14:textId="77777777" w:rsidR="004E1A3F" w:rsidRPr="00956C5F" w:rsidRDefault="004E1A3F" w:rsidP="00956C5F">
      <w:pPr>
        <w:shd w:val="clear" w:color="auto" w:fill="FFFFFF"/>
        <w:spacing w:after="0" w:line="360" w:lineRule="auto"/>
        <w:rPr>
          <w:rFonts w:ascii="Arial" w:eastAsia="Times New Roman" w:hAnsi="Arial" w:cs="Arial"/>
          <w:sz w:val="22"/>
        </w:rPr>
      </w:pPr>
    </w:p>
    <w:p w14:paraId="3A8F8C90" w14:textId="77777777" w:rsidR="006661ED" w:rsidRPr="00B51DFB" w:rsidRDefault="006661ED" w:rsidP="00956C5F">
      <w:pPr>
        <w:pStyle w:val="Heading1"/>
        <w:spacing w:before="0" w:line="360" w:lineRule="auto"/>
        <w:jc w:val="both"/>
        <w:rPr>
          <w:rFonts w:ascii="Times New Roman" w:hAnsi="Times New Roman"/>
          <w:color w:val="auto"/>
          <w:sz w:val="24"/>
          <w:szCs w:val="24"/>
        </w:rPr>
      </w:pPr>
      <w:r w:rsidRPr="00B51DFB">
        <w:rPr>
          <w:rFonts w:ascii="Times New Roman" w:hAnsi="Times New Roman"/>
          <w:color w:val="auto"/>
          <w:sz w:val="24"/>
          <w:szCs w:val="24"/>
        </w:rPr>
        <w:t>Reference</w:t>
      </w:r>
      <w:bookmarkEnd w:id="39"/>
      <w:r w:rsidRPr="00B51DFB">
        <w:rPr>
          <w:rFonts w:ascii="Times New Roman" w:hAnsi="Times New Roman"/>
          <w:color w:val="auto"/>
          <w:sz w:val="24"/>
          <w:szCs w:val="24"/>
        </w:rPr>
        <w:t xml:space="preserve"> </w:t>
      </w:r>
    </w:p>
    <w:p w14:paraId="3010309A" w14:textId="3B93D8DE" w:rsidR="006661ED" w:rsidRPr="00956C5F" w:rsidRDefault="006661ED" w:rsidP="00956C5F">
      <w:pPr>
        <w:pStyle w:val="EndNoteBibliography"/>
        <w:spacing w:after="0" w:line="360" w:lineRule="auto"/>
        <w:ind w:left="720" w:hanging="720"/>
        <w:rPr>
          <w:rFonts w:ascii="Times New Roman" w:hAnsi="Times New Roman"/>
          <w:sz w:val="22"/>
          <w:szCs w:val="22"/>
          <w:vertAlign w:val="subscript"/>
        </w:rPr>
      </w:pPr>
      <w:r w:rsidRPr="00956C5F">
        <w:rPr>
          <w:rFonts w:ascii="Times New Roman" w:hAnsi="Times New Roman"/>
          <w:sz w:val="22"/>
          <w:szCs w:val="22"/>
          <w:vertAlign w:val="subscript"/>
        </w:rPr>
        <w:fldChar w:fldCharType="begin"/>
      </w:r>
      <w:r w:rsidRPr="00956C5F">
        <w:rPr>
          <w:rFonts w:ascii="Times New Roman" w:hAnsi="Times New Roman"/>
          <w:sz w:val="22"/>
          <w:szCs w:val="22"/>
          <w:vertAlign w:val="subscript"/>
        </w:rPr>
        <w:instrText xml:space="preserve"> ADDIN EN.REFLIST </w:instrText>
      </w:r>
      <w:r w:rsidRPr="00956C5F">
        <w:rPr>
          <w:rFonts w:ascii="Times New Roman" w:hAnsi="Times New Roman"/>
          <w:sz w:val="22"/>
          <w:szCs w:val="22"/>
          <w:vertAlign w:val="subscript"/>
        </w:rPr>
        <w:fldChar w:fldCharType="separate"/>
      </w:r>
    </w:p>
    <w:p w14:paraId="782557F0"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Alemu, A., Lemma, B., Gabbiye, N., Alula, M. T., &amp; Desta, M. T. (2018). Removal of chromium (VI) from aqueous solution using vesicular basalt: A potential low-cost wastewater treatment system. </w:t>
      </w:r>
      <w:r w:rsidRPr="00956C5F">
        <w:rPr>
          <w:rStyle w:val="Emphasis"/>
          <w:rFonts w:ascii="Times New Roman" w:hAnsi="Times New Roman"/>
          <w:sz w:val="22"/>
          <w:szCs w:val="22"/>
        </w:rPr>
        <w:t>Heliyon, 4</w:t>
      </w:r>
      <w:r w:rsidRPr="00956C5F">
        <w:rPr>
          <w:rFonts w:ascii="Times New Roman" w:hAnsi="Times New Roman"/>
          <w:sz w:val="22"/>
          <w:szCs w:val="22"/>
        </w:rPr>
        <w:t>(7), e00682.</w:t>
      </w:r>
    </w:p>
    <w:p w14:paraId="4BAB83C7"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Alemu, A., Lemma, B., &amp; Gabbiye, N. (2019). Adsorption of chromium (III) from aqueous solution using vesicular basalt rock. </w:t>
      </w:r>
      <w:r w:rsidRPr="00956C5F">
        <w:rPr>
          <w:rStyle w:val="Emphasis"/>
          <w:rFonts w:ascii="Times New Roman" w:hAnsi="Times New Roman"/>
          <w:sz w:val="22"/>
          <w:szCs w:val="22"/>
        </w:rPr>
        <w:t>Cogent Environmental Science, 5</w:t>
      </w:r>
      <w:r w:rsidRPr="00956C5F">
        <w:rPr>
          <w:rFonts w:ascii="Times New Roman" w:hAnsi="Times New Roman"/>
          <w:sz w:val="22"/>
          <w:szCs w:val="22"/>
        </w:rPr>
        <w:t>(1), 1650416. https://doi.org/10.1080/23311843.2019.1650416</w:t>
      </w:r>
    </w:p>
    <w:p w14:paraId="0DEB5139"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Al-Asheh, S., &amp; Banat, F. (2001). Adsorption of zinc and copper ions by the solid waste of the olive oil industry. </w:t>
      </w:r>
      <w:r w:rsidRPr="00956C5F">
        <w:rPr>
          <w:rStyle w:val="Emphasis"/>
          <w:rFonts w:ascii="Times New Roman" w:hAnsi="Times New Roman"/>
          <w:sz w:val="22"/>
          <w:szCs w:val="22"/>
        </w:rPr>
        <w:t>Adsorption Science &amp; Technology, 19</w:t>
      </w:r>
      <w:r w:rsidRPr="00956C5F">
        <w:rPr>
          <w:rFonts w:ascii="Times New Roman" w:hAnsi="Times New Roman"/>
          <w:sz w:val="22"/>
          <w:szCs w:val="22"/>
        </w:rPr>
        <w:t>(2), 117–129.</w:t>
      </w:r>
    </w:p>
    <w:p w14:paraId="1797A8B7"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Argun, M. E., Dursun, S., Ozdemir, C., &amp; Karatas, M. (2007). Heavy metal adsorption by modified oak sawdust: Thermodynamics and kinetics. </w:t>
      </w:r>
      <w:r w:rsidRPr="00956C5F">
        <w:rPr>
          <w:rStyle w:val="Emphasis"/>
          <w:rFonts w:ascii="Times New Roman" w:hAnsi="Times New Roman"/>
          <w:sz w:val="22"/>
          <w:szCs w:val="22"/>
        </w:rPr>
        <w:t>Journal of Hazardous Materials, 141</w:t>
      </w:r>
      <w:r w:rsidRPr="00956C5F">
        <w:rPr>
          <w:rFonts w:ascii="Times New Roman" w:hAnsi="Times New Roman"/>
          <w:sz w:val="22"/>
          <w:szCs w:val="22"/>
        </w:rPr>
        <w:t>(1), 77–85.</w:t>
      </w:r>
    </w:p>
    <w:p w14:paraId="30302004"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Bhattacharyya, K. G., &amp; Sen Gupta, S. (2006). Adsorption of chromium (VI) from water by clays. </w:t>
      </w:r>
      <w:r w:rsidRPr="00956C5F">
        <w:rPr>
          <w:rStyle w:val="Emphasis"/>
          <w:rFonts w:ascii="Times New Roman" w:hAnsi="Times New Roman"/>
          <w:sz w:val="22"/>
          <w:szCs w:val="22"/>
        </w:rPr>
        <w:t>Industrial &amp; Engineering Chemistry Research, 45</w:t>
      </w:r>
      <w:r w:rsidRPr="00956C5F">
        <w:rPr>
          <w:rFonts w:ascii="Times New Roman" w:hAnsi="Times New Roman"/>
          <w:sz w:val="22"/>
          <w:szCs w:val="22"/>
        </w:rPr>
        <w:t>(21), 7232–7240.</w:t>
      </w:r>
    </w:p>
    <w:p w14:paraId="41490162"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Bhatti, A. A., Oguz, M., &amp; Yilmaz, M. (2017). Magnetizing calixarene: Azo dye removal from aqueous media by Fe₃O₄ nanoparticles fabricated with carboxylic-substituted calix[4]arene. </w:t>
      </w:r>
      <w:r w:rsidRPr="00956C5F">
        <w:rPr>
          <w:rStyle w:val="Emphasis"/>
          <w:rFonts w:ascii="Times New Roman" w:hAnsi="Times New Roman"/>
          <w:sz w:val="22"/>
          <w:szCs w:val="22"/>
        </w:rPr>
        <w:t>Journal of Chemical &amp; Engineering Data, 62</w:t>
      </w:r>
      <w:r w:rsidRPr="00956C5F">
        <w:rPr>
          <w:rFonts w:ascii="Times New Roman" w:hAnsi="Times New Roman"/>
          <w:sz w:val="22"/>
          <w:szCs w:val="22"/>
        </w:rPr>
        <w:t>(11), 3595–3604.*</w:t>
      </w:r>
    </w:p>
    <w:p w14:paraId="28C6F4D4"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Chowdhury, M., Mostafa, M., Biswas, T. K., &amp; Saha, A. K. (2013). Treatment of leather industrial effluents by filtration and coagulation processes. </w:t>
      </w:r>
      <w:r w:rsidRPr="00956C5F">
        <w:rPr>
          <w:rStyle w:val="Emphasis"/>
          <w:rFonts w:ascii="Times New Roman" w:hAnsi="Times New Roman"/>
          <w:sz w:val="22"/>
          <w:szCs w:val="22"/>
        </w:rPr>
        <w:t>Water Resources and Industry, 3</w:t>
      </w:r>
      <w:r w:rsidRPr="00956C5F">
        <w:rPr>
          <w:rFonts w:ascii="Times New Roman" w:hAnsi="Times New Roman"/>
          <w:sz w:val="22"/>
          <w:szCs w:val="22"/>
        </w:rPr>
        <w:t>, 11–22.</w:t>
      </w:r>
    </w:p>
    <w:p w14:paraId="73AB35E4"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Diouri, K., Chaqroune, A., Kherbeche, A., Bentama, J., &amp; Lahrichi, A. (2015). Kinetics of yellow dye adsorption onto marble powder sorbents. </w:t>
      </w:r>
      <w:r w:rsidRPr="00956C5F">
        <w:rPr>
          <w:rStyle w:val="Emphasis"/>
          <w:rFonts w:ascii="Times New Roman" w:hAnsi="Times New Roman"/>
          <w:sz w:val="22"/>
          <w:szCs w:val="22"/>
        </w:rPr>
        <w:t>Journal of Materials and Environmental Science, 6</w:t>
      </w:r>
      <w:r w:rsidRPr="00956C5F">
        <w:rPr>
          <w:rFonts w:ascii="Times New Roman" w:hAnsi="Times New Roman"/>
          <w:sz w:val="22"/>
          <w:szCs w:val="22"/>
        </w:rPr>
        <w:t>(1), 79–92.</w:t>
      </w:r>
    </w:p>
    <w:p w14:paraId="0A3F539C"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Duliu, O. G., Grecu, M. N., &amp; Cristea, C. (2009). EPR and X-ray diffraction investigation of some Greek marbles and limestones. </w:t>
      </w:r>
      <w:r w:rsidRPr="00956C5F">
        <w:rPr>
          <w:rStyle w:val="Emphasis"/>
          <w:rFonts w:ascii="Times New Roman" w:hAnsi="Times New Roman"/>
          <w:sz w:val="22"/>
          <w:szCs w:val="22"/>
        </w:rPr>
        <w:t>Romanian Reports in Physics, 61</w:t>
      </w:r>
      <w:r w:rsidRPr="00956C5F">
        <w:rPr>
          <w:rFonts w:ascii="Times New Roman" w:hAnsi="Times New Roman"/>
          <w:sz w:val="22"/>
          <w:szCs w:val="22"/>
        </w:rPr>
        <w:t>(3), 487–499.</w:t>
      </w:r>
    </w:p>
    <w:p w14:paraId="3A772AD0"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Foo, K. Y., &amp; Hameed, B. H. (2010). Insights into the modeling of adsorption isotherm systems. </w:t>
      </w:r>
      <w:r w:rsidRPr="00956C5F">
        <w:rPr>
          <w:rStyle w:val="Emphasis"/>
          <w:rFonts w:ascii="Times New Roman" w:hAnsi="Times New Roman"/>
          <w:sz w:val="22"/>
          <w:szCs w:val="22"/>
        </w:rPr>
        <w:t>Chemical Engineering Journal, 156</w:t>
      </w:r>
      <w:r w:rsidRPr="00956C5F">
        <w:rPr>
          <w:rFonts w:ascii="Times New Roman" w:hAnsi="Times New Roman"/>
          <w:sz w:val="22"/>
          <w:szCs w:val="22"/>
        </w:rPr>
        <w:t>(1), 2–10. https://doi.org/10.1016/j.cej.2009.09.013</w:t>
      </w:r>
    </w:p>
    <w:p w14:paraId="08B24EAC"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Freundlich, H. M. F. (1906). Über die Adsorption in Lösungen. </w:t>
      </w:r>
      <w:r w:rsidRPr="00956C5F">
        <w:rPr>
          <w:rStyle w:val="Emphasis"/>
          <w:rFonts w:ascii="Times New Roman" w:hAnsi="Times New Roman"/>
          <w:sz w:val="22"/>
          <w:szCs w:val="22"/>
        </w:rPr>
        <w:t>Zeitschrift für Physikalische Chemie, 57A</w:t>
      </w:r>
      <w:r w:rsidRPr="00956C5F">
        <w:rPr>
          <w:rFonts w:ascii="Times New Roman" w:hAnsi="Times New Roman"/>
          <w:sz w:val="22"/>
          <w:szCs w:val="22"/>
        </w:rPr>
        <w:t>, 385–470.</w:t>
      </w:r>
    </w:p>
    <w:p w14:paraId="3B80DF8C"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Gao, H., Liu, Y., Zeng, G., Xu, W., Li, T., &amp; Xia, W. (2008). Characterization of Cr(VI) removal from aqueous solutions by a surplus agricultural waste—rice straw. </w:t>
      </w:r>
      <w:r w:rsidRPr="00956C5F">
        <w:rPr>
          <w:rStyle w:val="Emphasis"/>
          <w:rFonts w:ascii="Times New Roman" w:hAnsi="Times New Roman"/>
          <w:sz w:val="22"/>
          <w:szCs w:val="22"/>
        </w:rPr>
        <w:t>Journal of Hazardous Materials, 150</w:t>
      </w:r>
      <w:r w:rsidRPr="00956C5F">
        <w:rPr>
          <w:rFonts w:ascii="Times New Roman" w:hAnsi="Times New Roman"/>
          <w:sz w:val="22"/>
          <w:szCs w:val="22"/>
        </w:rPr>
        <w:t>(2), 446–452.</w:t>
      </w:r>
    </w:p>
    <w:p w14:paraId="5A0CC723"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lastRenderedPageBreak/>
        <w:t xml:space="preserve">Ghazy, S., Samra, S., Mahdy, A., &amp; El-Morsy, S. (2003). Removal of copper (II) ions from aqueous solutions. I. Adsorption studies using powdered marble wastes as sorbent. </w:t>
      </w:r>
      <w:r w:rsidRPr="00956C5F">
        <w:rPr>
          <w:rStyle w:val="Emphasis"/>
          <w:rFonts w:ascii="Times New Roman" w:hAnsi="Times New Roman"/>
          <w:sz w:val="22"/>
          <w:szCs w:val="22"/>
        </w:rPr>
        <w:t>Adsorption Science &amp; Technology, 21</w:t>
      </w:r>
      <w:r w:rsidRPr="00956C5F">
        <w:rPr>
          <w:rFonts w:ascii="Times New Roman" w:hAnsi="Times New Roman"/>
          <w:sz w:val="22"/>
          <w:szCs w:val="22"/>
        </w:rPr>
        <w:t>(3), 285–296.</w:t>
      </w:r>
    </w:p>
    <w:p w14:paraId="37407C48"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Ghazy, S. E., &amp; Gad, A. H. (2014). Lead separation by sorption onto powdered marble waste. </w:t>
      </w:r>
      <w:r w:rsidRPr="00956C5F">
        <w:rPr>
          <w:rStyle w:val="Emphasis"/>
          <w:rFonts w:ascii="Times New Roman" w:hAnsi="Times New Roman"/>
          <w:sz w:val="22"/>
          <w:szCs w:val="22"/>
        </w:rPr>
        <w:t>Arabian Journal of Chemistry, 7</w:t>
      </w:r>
      <w:r w:rsidRPr="00956C5F">
        <w:rPr>
          <w:rFonts w:ascii="Times New Roman" w:hAnsi="Times New Roman"/>
          <w:sz w:val="22"/>
          <w:szCs w:val="22"/>
        </w:rPr>
        <w:t>(3), 277–286.</w:t>
      </w:r>
    </w:p>
    <w:p w14:paraId="3FECA595"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Gupta, V. K., Pathania, D., Sharma, S., Agarwal, S., &amp; Singh, P. (2013). Remediation of noxious chromium (VI) utilizing acrylic acid grafted lignocellulosic adsorbent. </w:t>
      </w:r>
      <w:r w:rsidRPr="00956C5F">
        <w:rPr>
          <w:rStyle w:val="Emphasis"/>
          <w:rFonts w:ascii="Times New Roman" w:hAnsi="Times New Roman"/>
          <w:sz w:val="22"/>
          <w:szCs w:val="22"/>
        </w:rPr>
        <w:t>Journal of Molecular Liquids, 177</w:t>
      </w:r>
      <w:r w:rsidRPr="00956C5F">
        <w:rPr>
          <w:rFonts w:ascii="Times New Roman" w:hAnsi="Times New Roman"/>
          <w:sz w:val="22"/>
          <w:szCs w:val="22"/>
        </w:rPr>
        <w:t>, 343–352.</w:t>
      </w:r>
    </w:p>
    <w:p w14:paraId="74990D48"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Hameed, B., Tan, I., &amp; Ahmad, A. (2008). Adsorption isotherm, kinetic modeling and mechanism of 2,4,6-trichlorophenol on coconut husk-based activated carbon. </w:t>
      </w:r>
      <w:r w:rsidRPr="00956C5F">
        <w:rPr>
          <w:rStyle w:val="Emphasis"/>
          <w:rFonts w:ascii="Times New Roman" w:hAnsi="Times New Roman"/>
          <w:sz w:val="22"/>
          <w:szCs w:val="22"/>
        </w:rPr>
        <w:t>Chemical Engineering Journal, 144</w:t>
      </w:r>
      <w:r w:rsidRPr="00956C5F">
        <w:rPr>
          <w:rFonts w:ascii="Times New Roman" w:hAnsi="Times New Roman"/>
          <w:sz w:val="22"/>
          <w:szCs w:val="22"/>
        </w:rPr>
        <w:t>(2), 235–244.</w:t>
      </w:r>
    </w:p>
    <w:p w14:paraId="2E9F804A"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Kaczmarski, K., &amp; Bellot, J. C. (2003). Effect of particle-size distribution and particle porosity changes on mass-transfer kinetics. </w:t>
      </w:r>
      <w:r w:rsidRPr="00956C5F">
        <w:rPr>
          <w:rStyle w:val="Emphasis"/>
          <w:rFonts w:ascii="Times New Roman" w:hAnsi="Times New Roman"/>
          <w:sz w:val="22"/>
          <w:szCs w:val="22"/>
        </w:rPr>
        <w:t>Acta Chromatographica, 13</w:t>
      </w:r>
      <w:r w:rsidRPr="00956C5F">
        <w:rPr>
          <w:rFonts w:ascii="Times New Roman" w:hAnsi="Times New Roman"/>
          <w:sz w:val="22"/>
          <w:szCs w:val="22"/>
        </w:rPr>
        <w:t>, 22–37.</w:t>
      </w:r>
    </w:p>
    <w:p w14:paraId="3809578C"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Khan, T. A., &amp; Singh, V. V. (2010). Removal of cadmium (II), lead (II), and chromium (VI) ions from aqueous solution using clay. </w:t>
      </w:r>
      <w:r w:rsidRPr="00956C5F">
        <w:rPr>
          <w:rStyle w:val="Emphasis"/>
          <w:rFonts w:ascii="Times New Roman" w:hAnsi="Times New Roman"/>
          <w:sz w:val="22"/>
          <w:szCs w:val="22"/>
        </w:rPr>
        <w:t>Toxicological and Environmental Chemistry, 92</w:t>
      </w:r>
      <w:r w:rsidRPr="00956C5F">
        <w:rPr>
          <w:rFonts w:ascii="Times New Roman" w:hAnsi="Times New Roman"/>
          <w:sz w:val="22"/>
          <w:szCs w:val="22"/>
        </w:rPr>
        <w:t>(8), 1435–1446.</w:t>
      </w:r>
    </w:p>
    <w:p w14:paraId="59706655"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Langmuir, I. (1918). The adsorption of gases on plane surfaces of glass, mica and platinum. </w:t>
      </w:r>
      <w:r w:rsidRPr="00956C5F">
        <w:rPr>
          <w:rStyle w:val="Emphasis"/>
          <w:rFonts w:ascii="Times New Roman" w:hAnsi="Times New Roman"/>
          <w:sz w:val="22"/>
          <w:szCs w:val="22"/>
        </w:rPr>
        <w:t>Journal of the American Chemical Society, 40</w:t>
      </w:r>
      <w:r w:rsidRPr="00956C5F">
        <w:rPr>
          <w:rFonts w:ascii="Times New Roman" w:hAnsi="Times New Roman"/>
          <w:sz w:val="22"/>
          <w:szCs w:val="22"/>
        </w:rPr>
        <w:t>(9), 1361–1403. https://doi.org/10.1021/ja02242a004</w:t>
      </w:r>
    </w:p>
    <w:p w14:paraId="4812A7DD"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Owlad, M., Aroua, M. K., Daud, W. A. W., &amp; Baroutian, S. (2008). Removal of hexavalent chromium-contaminated water and wastewater: A review. </w:t>
      </w:r>
      <w:r w:rsidRPr="00956C5F">
        <w:rPr>
          <w:rStyle w:val="Emphasis"/>
          <w:rFonts w:ascii="Times New Roman" w:hAnsi="Times New Roman"/>
          <w:sz w:val="22"/>
          <w:szCs w:val="22"/>
        </w:rPr>
        <w:t>Water, Air, &amp; Soil Pollution, 187</w:t>
      </w:r>
      <w:r w:rsidRPr="00956C5F">
        <w:rPr>
          <w:rFonts w:ascii="Times New Roman" w:hAnsi="Times New Roman"/>
          <w:sz w:val="22"/>
          <w:szCs w:val="22"/>
        </w:rPr>
        <w:t>(1–4), 323–336. https://doi.org/10.1007/s11270-007-9511-0</w:t>
      </w:r>
    </w:p>
    <w:p w14:paraId="0EBEB316"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Mandjiny, S., Zouboulis, A., &amp; Matis, K. (1995). Removal of cadmium from dilute solutions by hydroxyapatite. I. Sorption studies. </w:t>
      </w:r>
      <w:r w:rsidRPr="00956C5F">
        <w:rPr>
          <w:rStyle w:val="Emphasis"/>
          <w:rFonts w:ascii="Times New Roman" w:hAnsi="Times New Roman"/>
          <w:sz w:val="22"/>
          <w:szCs w:val="22"/>
        </w:rPr>
        <w:t>Separation Science and Technology, 30</w:t>
      </w:r>
      <w:r w:rsidRPr="00956C5F">
        <w:rPr>
          <w:rFonts w:ascii="Times New Roman" w:hAnsi="Times New Roman"/>
          <w:sz w:val="22"/>
          <w:szCs w:val="22"/>
        </w:rPr>
        <w:t>(15), 2963–2978.</w:t>
      </w:r>
    </w:p>
    <w:p w14:paraId="44E918C0"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Marín, A. P., Aguilar, M., Meseguer, V., Ortuno, J., Sáez, J., &amp; Lloréns, M. (2009). Biosorption of chromium (III) by orange (</w:t>
      </w:r>
      <w:r w:rsidRPr="00956C5F">
        <w:rPr>
          <w:rStyle w:val="Emphasis"/>
          <w:rFonts w:ascii="Times New Roman" w:hAnsi="Times New Roman"/>
          <w:sz w:val="22"/>
          <w:szCs w:val="22"/>
        </w:rPr>
        <w:t>Citrus sinensis</w:t>
      </w:r>
      <w:r w:rsidRPr="00956C5F">
        <w:rPr>
          <w:rFonts w:ascii="Times New Roman" w:hAnsi="Times New Roman"/>
          <w:sz w:val="22"/>
          <w:szCs w:val="22"/>
        </w:rPr>
        <w:t xml:space="preserve">) waste: Batch and continuous studies. </w:t>
      </w:r>
      <w:r w:rsidRPr="00956C5F">
        <w:rPr>
          <w:rStyle w:val="Emphasis"/>
          <w:rFonts w:ascii="Times New Roman" w:hAnsi="Times New Roman"/>
          <w:sz w:val="22"/>
          <w:szCs w:val="22"/>
        </w:rPr>
        <w:t>Chemical Engineering Journal, 155</w:t>
      </w:r>
      <w:r w:rsidRPr="00956C5F">
        <w:rPr>
          <w:rFonts w:ascii="Times New Roman" w:hAnsi="Times New Roman"/>
          <w:sz w:val="22"/>
          <w:szCs w:val="22"/>
        </w:rPr>
        <w:t>(1), 199–206.</w:t>
      </w:r>
    </w:p>
    <w:p w14:paraId="3D675BB6"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Pan, B., Pan, B., Chen, X., Zhang, W., Zhang, X., Zhang, Q., &amp; Chen, J. (2006). Preparation and preliminary assessment of polymer-supported zirconium phosphate for selective lead removal from contaminated water. </w:t>
      </w:r>
      <w:r w:rsidRPr="00956C5F">
        <w:rPr>
          <w:rStyle w:val="Emphasis"/>
          <w:rFonts w:ascii="Times New Roman" w:hAnsi="Times New Roman"/>
          <w:sz w:val="22"/>
          <w:szCs w:val="22"/>
        </w:rPr>
        <w:t>Water Research, 40</w:t>
      </w:r>
      <w:r w:rsidRPr="00956C5F">
        <w:rPr>
          <w:rFonts w:ascii="Times New Roman" w:hAnsi="Times New Roman"/>
          <w:sz w:val="22"/>
          <w:szCs w:val="22"/>
        </w:rPr>
        <w:t>(15), 2938–2946.</w:t>
      </w:r>
    </w:p>
    <w:p w14:paraId="4136266A" w14:textId="77777777" w:rsidR="001A7884"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Pokhrel, G. R., &amp; Pokhre, G. (2022). The effect of chromium on human health: A review. </w:t>
      </w:r>
      <w:r w:rsidRPr="00956C5F">
        <w:rPr>
          <w:rStyle w:val="Emphasis"/>
          <w:rFonts w:ascii="Times New Roman" w:hAnsi="Times New Roman"/>
          <w:sz w:val="22"/>
          <w:szCs w:val="22"/>
        </w:rPr>
        <w:t>BMC Journal of Scientific Research, 5</w:t>
      </w:r>
      <w:r w:rsidRPr="00956C5F">
        <w:rPr>
          <w:rFonts w:ascii="Times New Roman" w:hAnsi="Times New Roman"/>
          <w:sz w:val="22"/>
          <w:szCs w:val="22"/>
        </w:rPr>
        <w:t>(1), 27–35. https://doi.org/10.3126/bmcjsr.v5i1.50669</w:t>
      </w:r>
    </w:p>
    <w:p w14:paraId="556C8D6B" w14:textId="77777777" w:rsidR="00BF64B2"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Sarin, V., &amp; Pant, K. (2006). Removal of chromium from industrial waste by using eucalyptus bark. </w:t>
      </w:r>
      <w:r w:rsidRPr="00956C5F">
        <w:rPr>
          <w:rStyle w:val="Emphasis"/>
          <w:rFonts w:ascii="Times New Roman" w:hAnsi="Times New Roman"/>
          <w:sz w:val="22"/>
          <w:szCs w:val="22"/>
        </w:rPr>
        <w:t>Bioresource Technology, 97</w:t>
      </w:r>
      <w:r w:rsidRPr="00956C5F">
        <w:rPr>
          <w:rFonts w:ascii="Times New Roman" w:hAnsi="Times New Roman"/>
          <w:sz w:val="22"/>
          <w:szCs w:val="22"/>
        </w:rPr>
        <w:t>(1), 15–20.</w:t>
      </w:r>
    </w:p>
    <w:p w14:paraId="407A24B4" w14:textId="77777777" w:rsidR="00BF64B2" w:rsidRPr="00956C5F" w:rsidRDefault="00A7282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lang w:val="en-US"/>
        </w:rPr>
        <w:t>U</w:t>
      </w:r>
      <w:r w:rsidR="001A7884" w:rsidRPr="00956C5F">
        <w:rPr>
          <w:rFonts w:ascii="Times New Roman" w:hAnsi="Times New Roman"/>
          <w:sz w:val="22"/>
          <w:szCs w:val="22"/>
        </w:rPr>
        <w:t xml:space="preserve">mathi, K., Mahimairaja, S., &amp; Naidu, R. (2005). Use of low-cost biological wastes and vermiculite for removal of chromium from tannery effluent. </w:t>
      </w:r>
      <w:r w:rsidR="001A7884" w:rsidRPr="00956C5F">
        <w:rPr>
          <w:rStyle w:val="Emphasis"/>
          <w:rFonts w:ascii="Times New Roman" w:hAnsi="Times New Roman"/>
          <w:sz w:val="22"/>
          <w:szCs w:val="22"/>
        </w:rPr>
        <w:t>Bioresource Technology, 96</w:t>
      </w:r>
      <w:r w:rsidR="001A7884" w:rsidRPr="00956C5F">
        <w:rPr>
          <w:rFonts w:ascii="Times New Roman" w:hAnsi="Times New Roman"/>
          <w:sz w:val="22"/>
          <w:szCs w:val="22"/>
        </w:rPr>
        <w:t>(3), 309–316.</w:t>
      </w:r>
    </w:p>
    <w:p w14:paraId="28DED746" w14:textId="77777777" w:rsidR="00BF64B2"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Suwalsky, M., Castro, R., Villena, F., &amp; Sotomayor, C. (2008). Cr(III) exerts stronger structural effects than Cr(VI) on the human erythrocyte membrane and molecular models. </w:t>
      </w:r>
      <w:r w:rsidRPr="00956C5F">
        <w:rPr>
          <w:rStyle w:val="Emphasis"/>
          <w:rFonts w:ascii="Times New Roman" w:hAnsi="Times New Roman"/>
          <w:sz w:val="22"/>
          <w:szCs w:val="22"/>
        </w:rPr>
        <w:t>Journal of Inorganic Biochemistry, 102</w:t>
      </w:r>
      <w:r w:rsidRPr="00956C5F">
        <w:rPr>
          <w:rFonts w:ascii="Times New Roman" w:hAnsi="Times New Roman"/>
          <w:sz w:val="22"/>
          <w:szCs w:val="22"/>
        </w:rPr>
        <w:t>(4), 842–849.</w:t>
      </w:r>
    </w:p>
    <w:p w14:paraId="07F54FA8" w14:textId="77777777" w:rsidR="00BF64B2"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Wazwaz, A., Al-Salaymeh, A., &amp; Khan, M. S. (2019). Removing heavy metals through different types of soils and marble powder found in Oman. </w:t>
      </w:r>
      <w:r w:rsidRPr="00956C5F">
        <w:rPr>
          <w:rStyle w:val="Emphasis"/>
          <w:rFonts w:ascii="Times New Roman" w:hAnsi="Times New Roman"/>
          <w:sz w:val="22"/>
          <w:szCs w:val="22"/>
        </w:rPr>
        <w:t>Journal of Ecological Engineering, 20</w:t>
      </w:r>
      <w:r w:rsidRPr="00956C5F">
        <w:rPr>
          <w:rFonts w:ascii="Times New Roman" w:hAnsi="Times New Roman"/>
          <w:sz w:val="22"/>
          <w:szCs w:val="22"/>
        </w:rPr>
        <w:t>(4), 136–142.</w:t>
      </w:r>
    </w:p>
    <w:p w14:paraId="68FD8E7C" w14:textId="77777777" w:rsidR="00BF64B2" w:rsidRPr="00956C5F" w:rsidRDefault="001A7884" w:rsidP="001A15D2">
      <w:pPr>
        <w:pStyle w:val="EndNoteBibliography"/>
        <w:spacing w:after="0" w:line="276" w:lineRule="auto"/>
        <w:ind w:left="720" w:hanging="720"/>
        <w:rPr>
          <w:rFonts w:ascii="Times New Roman" w:hAnsi="Times New Roman"/>
          <w:sz w:val="22"/>
          <w:szCs w:val="22"/>
          <w:lang w:val="en-US"/>
        </w:rPr>
      </w:pPr>
      <w:r w:rsidRPr="00956C5F">
        <w:rPr>
          <w:rFonts w:ascii="Times New Roman" w:hAnsi="Times New Roman"/>
          <w:sz w:val="22"/>
          <w:szCs w:val="22"/>
        </w:rPr>
        <w:t xml:space="preserve">World Health Organization. (2011). </w:t>
      </w:r>
      <w:r w:rsidRPr="00956C5F">
        <w:rPr>
          <w:rStyle w:val="Emphasis"/>
          <w:rFonts w:ascii="Times New Roman" w:hAnsi="Times New Roman"/>
          <w:sz w:val="22"/>
          <w:szCs w:val="22"/>
        </w:rPr>
        <w:t>Guidelines for drinking-water quality</w:t>
      </w:r>
      <w:r w:rsidRPr="00956C5F">
        <w:rPr>
          <w:rFonts w:ascii="Times New Roman" w:hAnsi="Times New Roman"/>
          <w:sz w:val="22"/>
          <w:szCs w:val="22"/>
        </w:rPr>
        <w:t xml:space="preserve"> (4th ed.). World Health Organization.</w:t>
      </w:r>
    </w:p>
    <w:p w14:paraId="62501C90" w14:textId="77777777" w:rsidR="001A7884" w:rsidRPr="00956C5F" w:rsidRDefault="001A7884" w:rsidP="001A15D2">
      <w:pPr>
        <w:pStyle w:val="EndNoteBibliography"/>
        <w:spacing w:after="0" w:line="276" w:lineRule="auto"/>
        <w:ind w:left="720" w:hanging="720"/>
        <w:rPr>
          <w:rFonts w:ascii="Times New Roman" w:hAnsi="Times New Roman"/>
          <w:sz w:val="22"/>
          <w:szCs w:val="22"/>
        </w:rPr>
      </w:pPr>
      <w:r w:rsidRPr="00956C5F">
        <w:rPr>
          <w:rFonts w:ascii="Times New Roman" w:hAnsi="Times New Roman"/>
          <w:sz w:val="22"/>
          <w:szCs w:val="22"/>
        </w:rPr>
        <w:t xml:space="preserve">Yu, B., Zhang, Y., Shukla, A., Shukla, S. S., &amp; Dorris, K. L. (2000). The removal of heavy metal from aqueous solutions by sawdust adsorption—removal of copper. </w:t>
      </w:r>
      <w:r w:rsidRPr="00956C5F">
        <w:rPr>
          <w:rStyle w:val="Emphasis"/>
          <w:rFonts w:ascii="Times New Roman" w:hAnsi="Times New Roman"/>
          <w:sz w:val="22"/>
          <w:szCs w:val="22"/>
        </w:rPr>
        <w:t>Journal of Hazardous Materials, 80</w:t>
      </w:r>
      <w:r w:rsidRPr="00956C5F">
        <w:rPr>
          <w:rFonts w:ascii="Times New Roman" w:hAnsi="Times New Roman"/>
          <w:sz w:val="22"/>
          <w:szCs w:val="22"/>
        </w:rPr>
        <w:t>(1), 33–42.</w:t>
      </w:r>
    </w:p>
    <w:p w14:paraId="3664A145" w14:textId="77777777" w:rsidR="001A7884" w:rsidRPr="00956C5F" w:rsidRDefault="001A7884" w:rsidP="001A15D2">
      <w:pPr>
        <w:pStyle w:val="EndNoteBibliography"/>
        <w:spacing w:line="276" w:lineRule="auto"/>
        <w:ind w:left="720" w:hanging="720"/>
        <w:rPr>
          <w:rFonts w:ascii="Times New Roman" w:hAnsi="Times New Roman"/>
          <w:sz w:val="22"/>
          <w:szCs w:val="22"/>
          <w:vertAlign w:val="subscript"/>
          <w:lang w:val="en-US"/>
        </w:rPr>
      </w:pPr>
    </w:p>
    <w:p w14:paraId="4D8BAF8E" w14:textId="77777777" w:rsidR="00A72824" w:rsidRPr="00956C5F" w:rsidRDefault="006661ED" w:rsidP="00956C5F">
      <w:pPr>
        <w:autoSpaceDE w:val="0"/>
        <w:autoSpaceDN w:val="0"/>
        <w:adjustRightInd w:val="0"/>
        <w:spacing w:after="0" w:line="360" w:lineRule="auto"/>
        <w:jc w:val="both"/>
        <w:rPr>
          <w:sz w:val="22"/>
          <w:vertAlign w:val="subscript"/>
        </w:rPr>
      </w:pPr>
      <w:r w:rsidRPr="00956C5F">
        <w:rPr>
          <w:sz w:val="22"/>
          <w:vertAlign w:val="subscript"/>
        </w:rPr>
        <w:fldChar w:fldCharType="end"/>
      </w:r>
    </w:p>
    <w:p w14:paraId="02DAAC1D" w14:textId="77777777" w:rsidR="006661ED" w:rsidRPr="00956C5F" w:rsidRDefault="006661ED" w:rsidP="00956C5F">
      <w:pPr>
        <w:spacing w:line="360" w:lineRule="auto"/>
        <w:jc w:val="right"/>
        <w:rPr>
          <w:sz w:val="22"/>
        </w:rPr>
      </w:pPr>
    </w:p>
    <w:sectPr w:rsidR="006661ED" w:rsidRPr="00956C5F" w:rsidSect="008330A8">
      <w:footerReference w:type="default" r:id="rId21"/>
      <w:pgSz w:w="12240" w:h="15840"/>
      <w:pgMar w:top="1530" w:right="1440" w:bottom="0" w:left="1440" w:header="720" w:footer="720" w:gutter="0"/>
      <w:pgNumType w:start="6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B7095" w14:textId="77777777" w:rsidR="00793A94" w:rsidRDefault="00793A94">
      <w:pPr>
        <w:spacing w:after="0" w:line="240" w:lineRule="auto"/>
      </w:pPr>
      <w:r>
        <w:separator/>
      </w:r>
    </w:p>
  </w:endnote>
  <w:endnote w:type="continuationSeparator" w:id="0">
    <w:p w14:paraId="6AF97FCB" w14:textId="77777777" w:rsidR="00793A94" w:rsidRDefault="0079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Math">
    <w:altName w:val="MS Mincho"/>
    <w:panose1 w:val="00000000000000000000"/>
    <w:charset w:val="80"/>
    <w:family w:val="auto"/>
    <w:notTrueType/>
    <w:pitch w:val="default"/>
    <w:sig w:usb0="00000001" w:usb1="08070000" w:usb2="00000010" w:usb3="00000000" w:csb0="00020000" w:csb1="00000000"/>
  </w:font>
  <w:font w:name="AdvTimes">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188974"/>
      <w:docPartObj>
        <w:docPartGallery w:val="Page Numbers (Bottom of Page)"/>
        <w:docPartUnique/>
      </w:docPartObj>
    </w:sdtPr>
    <w:sdtEndPr>
      <w:rPr>
        <w:noProof/>
      </w:rPr>
    </w:sdtEndPr>
    <w:sdtContent>
      <w:p w14:paraId="5E086055" w14:textId="66FAF636" w:rsidR="008330A8" w:rsidRDefault="008330A8">
        <w:pPr>
          <w:pStyle w:val="Footer"/>
          <w:jc w:val="center"/>
        </w:pPr>
        <w:r>
          <w:fldChar w:fldCharType="begin"/>
        </w:r>
        <w:r>
          <w:instrText xml:space="preserve"> PAGE   \* MERGEFORMAT </w:instrText>
        </w:r>
        <w:r>
          <w:fldChar w:fldCharType="separate"/>
        </w:r>
        <w:r w:rsidR="00F41C78">
          <w:rPr>
            <w:noProof/>
          </w:rPr>
          <w:t>66</w:t>
        </w:r>
        <w:r>
          <w:rPr>
            <w:noProof/>
          </w:rPr>
          <w:fldChar w:fldCharType="end"/>
        </w:r>
      </w:p>
    </w:sdtContent>
  </w:sdt>
  <w:p w14:paraId="127462E3" w14:textId="77777777" w:rsidR="00804142" w:rsidRDefault="008041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FD674" w14:textId="77777777" w:rsidR="00793A94" w:rsidRDefault="00793A94">
      <w:pPr>
        <w:spacing w:after="0" w:line="240" w:lineRule="auto"/>
      </w:pPr>
      <w:r>
        <w:separator/>
      </w:r>
    </w:p>
  </w:footnote>
  <w:footnote w:type="continuationSeparator" w:id="0">
    <w:p w14:paraId="7F3EA59B" w14:textId="77777777" w:rsidR="00793A94" w:rsidRDefault="00793A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5AD"/>
    <w:multiLevelType w:val="hybridMultilevel"/>
    <w:tmpl w:val="1036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32443"/>
    <w:multiLevelType w:val="hybridMultilevel"/>
    <w:tmpl w:val="9C54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740ED"/>
    <w:multiLevelType w:val="multilevel"/>
    <w:tmpl w:val="F15299B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BA1146"/>
    <w:multiLevelType w:val="multilevel"/>
    <w:tmpl w:val="77E64E2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ascii="Times New Roman" w:hAnsi="Times New Roman" w:cs="Times New Roman" w:hint="default"/>
        <w:sz w:val="24"/>
      </w:rPr>
    </w:lvl>
    <w:lvl w:ilvl="2">
      <w:start w:val="5"/>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4">
    <w:nsid w:val="1CCB406E"/>
    <w:multiLevelType w:val="hybridMultilevel"/>
    <w:tmpl w:val="E5C09F06"/>
    <w:lvl w:ilvl="0" w:tplc="58540DB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5C43E4"/>
    <w:multiLevelType w:val="multilevel"/>
    <w:tmpl w:val="90F6AAD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C026034"/>
    <w:multiLevelType w:val="hybridMultilevel"/>
    <w:tmpl w:val="283A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553CD1"/>
    <w:multiLevelType w:val="hybridMultilevel"/>
    <w:tmpl w:val="A96056F0"/>
    <w:lvl w:ilvl="0" w:tplc="0409000B">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nsid w:val="46AF6857"/>
    <w:multiLevelType w:val="hybridMultilevel"/>
    <w:tmpl w:val="00727D4C"/>
    <w:lvl w:ilvl="0" w:tplc="B51A4EF2">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177B5"/>
    <w:multiLevelType w:val="hybridMultilevel"/>
    <w:tmpl w:val="48E6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3F12CC"/>
    <w:multiLevelType w:val="hybridMultilevel"/>
    <w:tmpl w:val="A4D4D32C"/>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nsid w:val="543D783A"/>
    <w:multiLevelType w:val="hybridMultilevel"/>
    <w:tmpl w:val="511035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A20195"/>
    <w:multiLevelType w:val="hybridMultilevel"/>
    <w:tmpl w:val="9C7229D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9D5182"/>
    <w:multiLevelType w:val="hybridMultilevel"/>
    <w:tmpl w:val="14E87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8E62EB"/>
    <w:multiLevelType w:val="multilevel"/>
    <w:tmpl w:val="F15299B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42815CC"/>
    <w:multiLevelType w:val="hybridMultilevel"/>
    <w:tmpl w:val="B8D661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DE63FE"/>
    <w:multiLevelType w:val="hybridMultilevel"/>
    <w:tmpl w:val="8B86F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0F2383"/>
    <w:multiLevelType w:val="hybridMultilevel"/>
    <w:tmpl w:val="00727D4C"/>
    <w:lvl w:ilvl="0" w:tplc="B51A4EF2">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D237F5"/>
    <w:multiLevelType w:val="multilevel"/>
    <w:tmpl w:val="F3FA5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7"/>
  </w:num>
  <w:num w:numId="4">
    <w:abstractNumId w:val="5"/>
  </w:num>
  <w:num w:numId="5">
    <w:abstractNumId w:val="2"/>
  </w:num>
  <w:num w:numId="6">
    <w:abstractNumId w:val="3"/>
  </w:num>
  <w:num w:numId="7">
    <w:abstractNumId w:val="6"/>
  </w:num>
  <w:num w:numId="8">
    <w:abstractNumId w:val="14"/>
  </w:num>
  <w:num w:numId="9">
    <w:abstractNumId w:val="18"/>
  </w:num>
  <w:num w:numId="10">
    <w:abstractNumId w:val="17"/>
  </w:num>
  <w:num w:numId="11">
    <w:abstractNumId w:val="8"/>
  </w:num>
  <w:num w:numId="12">
    <w:abstractNumId w:val="1"/>
  </w:num>
  <w:num w:numId="13">
    <w:abstractNumId w:val="0"/>
  </w:num>
  <w:num w:numId="14">
    <w:abstractNumId w:val="10"/>
  </w:num>
  <w:num w:numId="15">
    <w:abstractNumId w:val="13"/>
  </w:num>
  <w:num w:numId="16">
    <w:abstractNumId w:val="15"/>
  </w:num>
  <w:num w:numId="17">
    <w:abstractNumId w:val="1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655"/>
    <w:rsid w:val="00022138"/>
    <w:rsid w:val="000346D7"/>
    <w:rsid w:val="000660C5"/>
    <w:rsid w:val="00081E33"/>
    <w:rsid w:val="00095334"/>
    <w:rsid w:val="00096A6B"/>
    <w:rsid w:val="000A2AF8"/>
    <w:rsid w:val="000A66C5"/>
    <w:rsid w:val="000B1FF3"/>
    <w:rsid w:val="000C2CC4"/>
    <w:rsid w:val="000C6C51"/>
    <w:rsid w:val="000E3DE6"/>
    <w:rsid w:val="000F37D9"/>
    <w:rsid w:val="00133744"/>
    <w:rsid w:val="00172DE0"/>
    <w:rsid w:val="00173EDE"/>
    <w:rsid w:val="001A0C45"/>
    <w:rsid w:val="001A15D2"/>
    <w:rsid w:val="001A7783"/>
    <w:rsid w:val="001A7884"/>
    <w:rsid w:val="001C3197"/>
    <w:rsid w:val="001C646B"/>
    <w:rsid w:val="001C7BEE"/>
    <w:rsid w:val="001C7C89"/>
    <w:rsid w:val="001E5F3B"/>
    <w:rsid w:val="001F36A6"/>
    <w:rsid w:val="002263A5"/>
    <w:rsid w:val="002304B7"/>
    <w:rsid w:val="00235F24"/>
    <w:rsid w:val="00241161"/>
    <w:rsid w:val="00244390"/>
    <w:rsid w:val="0024458F"/>
    <w:rsid w:val="00253F74"/>
    <w:rsid w:val="00254F10"/>
    <w:rsid w:val="002650BA"/>
    <w:rsid w:val="00282488"/>
    <w:rsid w:val="00287C6C"/>
    <w:rsid w:val="002A3A23"/>
    <w:rsid w:val="002A634E"/>
    <w:rsid w:val="002A6F6E"/>
    <w:rsid w:val="002C1D77"/>
    <w:rsid w:val="002C23D7"/>
    <w:rsid w:val="002D6C7F"/>
    <w:rsid w:val="002D7B71"/>
    <w:rsid w:val="002E0271"/>
    <w:rsid w:val="002F6278"/>
    <w:rsid w:val="003020D1"/>
    <w:rsid w:val="003021C7"/>
    <w:rsid w:val="00304448"/>
    <w:rsid w:val="003108B4"/>
    <w:rsid w:val="00313760"/>
    <w:rsid w:val="00321CB0"/>
    <w:rsid w:val="00323F2F"/>
    <w:rsid w:val="00330A71"/>
    <w:rsid w:val="003314BD"/>
    <w:rsid w:val="00333E90"/>
    <w:rsid w:val="00334F6E"/>
    <w:rsid w:val="00337F43"/>
    <w:rsid w:val="0034476E"/>
    <w:rsid w:val="00345CB4"/>
    <w:rsid w:val="00371841"/>
    <w:rsid w:val="003720F4"/>
    <w:rsid w:val="00380135"/>
    <w:rsid w:val="003A7654"/>
    <w:rsid w:val="003C2999"/>
    <w:rsid w:val="003C751F"/>
    <w:rsid w:val="003D26BA"/>
    <w:rsid w:val="00400461"/>
    <w:rsid w:val="004011E5"/>
    <w:rsid w:val="004046A1"/>
    <w:rsid w:val="00423291"/>
    <w:rsid w:val="00425AA6"/>
    <w:rsid w:val="00427FD4"/>
    <w:rsid w:val="00432138"/>
    <w:rsid w:val="004555DE"/>
    <w:rsid w:val="00455930"/>
    <w:rsid w:val="004906BF"/>
    <w:rsid w:val="00493824"/>
    <w:rsid w:val="004C6BE4"/>
    <w:rsid w:val="004E1A3F"/>
    <w:rsid w:val="004F4CF1"/>
    <w:rsid w:val="004F7EB6"/>
    <w:rsid w:val="00504761"/>
    <w:rsid w:val="00511928"/>
    <w:rsid w:val="0051490A"/>
    <w:rsid w:val="00522E4D"/>
    <w:rsid w:val="00527A60"/>
    <w:rsid w:val="005530D1"/>
    <w:rsid w:val="005553DB"/>
    <w:rsid w:val="005724D8"/>
    <w:rsid w:val="00596896"/>
    <w:rsid w:val="005B12D0"/>
    <w:rsid w:val="005C5199"/>
    <w:rsid w:val="00611A0A"/>
    <w:rsid w:val="006318F1"/>
    <w:rsid w:val="00632D82"/>
    <w:rsid w:val="006353E3"/>
    <w:rsid w:val="00654B97"/>
    <w:rsid w:val="006661ED"/>
    <w:rsid w:val="00667DC2"/>
    <w:rsid w:val="00674474"/>
    <w:rsid w:val="00694C67"/>
    <w:rsid w:val="00695B65"/>
    <w:rsid w:val="006D7F89"/>
    <w:rsid w:val="006E0F05"/>
    <w:rsid w:val="006E0F6E"/>
    <w:rsid w:val="006E4617"/>
    <w:rsid w:val="006E60B0"/>
    <w:rsid w:val="006F290A"/>
    <w:rsid w:val="00700916"/>
    <w:rsid w:val="00756771"/>
    <w:rsid w:val="00774C87"/>
    <w:rsid w:val="007841B3"/>
    <w:rsid w:val="00784FBD"/>
    <w:rsid w:val="00790755"/>
    <w:rsid w:val="00793A94"/>
    <w:rsid w:val="007B086B"/>
    <w:rsid w:val="007B1030"/>
    <w:rsid w:val="007B3FD7"/>
    <w:rsid w:val="007B4BAC"/>
    <w:rsid w:val="007D2FC8"/>
    <w:rsid w:val="00804142"/>
    <w:rsid w:val="00806103"/>
    <w:rsid w:val="00814B3D"/>
    <w:rsid w:val="00817ECD"/>
    <w:rsid w:val="008330A8"/>
    <w:rsid w:val="008339D8"/>
    <w:rsid w:val="008543B3"/>
    <w:rsid w:val="00864D18"/>
    <w:rsid w:val="00866379"/>
    <w:rsid w:val="00873420"/>
    <w:rsid w:val="0087386E"/>
    <w:rsid w:val="0088749A"/>
    <w:rsid w:val="00887853"/>
    <w:rsid w:val="00894CE8"/>
    <w:rsid w:val="008B02BC"/>
    <w:rsid w:val="008B149B"/>
    <w:rsid w:val="008B71B7"/>
    <w:rsid w:val="008C6B6F"/>
    <w:rsid w:val="008D705D"/>
    <w:rsid w:val="008E1164"/>
    <w:rsid w:val="0093004F"/>
    <w:rsid w:val="00932F7B"/>
    <w:rsid w:val="009516A0"/>
    <w:rsid w:val="00956C5F"/>
    <w:rsid w:val="00970260"/>
    <w:rsid w:val="00974324"/>
    <w:rsid w:val="009A32B7"/>
    <w:rsid w:val="009C3CCA"/>
    <w:rsid w:val="009E5EFB"/>
    <w:rsid w:val="00A27807"/>
    <w:rsid w:val="00A3331F"/>
    <w:rsid w:val="00A36FA5"/>
    <w:rsid w:val="00A4602C"/>
    <w:rsid w:val="00A570A0"/>
    <w:rsid w:val="00A622F6"/>
    <w:rsid w:val="00A64513"/>
    <w:rsid w:val="00A7217D"/>
    <w:rsid w:val="00A72824"/>
    <w:rsid w:val="00A92074"/>
    <w:rsid w:val="00AC0F17"/>
    <w:rsid w:val="00AD173F"/>
    <w:rsid w:val="00AD2BFF"/>
    <w:rsid w:val="00AD4C50"/>
    <w:rsid w:val="00B07655"/>
    <w:rsid w:val="00B135D0"/>
    <w:rsid w:val="00B21F68"/>
    <w:rsid w:val="00B37B52"/>
    <w:rsid w:val="00B51DFB"/>
    <w:rsid w:val="00B547FA"/>
    <w:rsid w:val="00B66080"/>
    <w:rsid w:val="00B878F1"/>
    <w:rsid w:val="00BA13DC"/>
    <w:rsid w:val="00BB66BF"/>
    <w:rsid w:val="00BD0E62"/>
    <w:rsid w:val="00BD6014"/>
    <w:rsid w:val="00BF64B2"/>
    <w:rsid w:val="00C00AFB"/>
    <w:rsid w:val="00C00F2D"/>
    <w:rsid w:val="00C235F4"/>
    <w:rsid w:val="00C24A04"/>
    <w:rsid w:val="00C3358E"/>
    <w:rsid w:val="00C57957"/>
    <w:rsid w:val="00C7425F"/>
    <w:rsid w:val="00C92AFF"/>
    <w:rsid w:val="00CB6826"/>
    <w:rsid w:val="00CB6E3C"/>
    <w:rsid w:val="00CD18DA"/>
    <w:rsid w:val="00CE75E4"/>
    <w:rsid w:val="00D13FA9"/>
    <w:rsid w:val="00D342F5"/>
    <w:rsid w:val="00D616D0"/>
    <w:rsid w:val="00D818CC"/>
    <w:rsid w:val="00D91E74"/>
    <w:rsid w:val="00DA168C"/>
    <w:rsid w:val="00DA1D9C"/>
    <w:rsid w:val="00DB0B5A"/>
    <w:rsid w:val="00DB5ADA"/>
    <w:rsid w:val="00DC2F53"/>
    <w:rsid w:val="00DC31C1"/>
    <w:rsid w:val="00DD2AD1"/>
    <w:rsid w:val="00DD3CE3"/>
    <w:rsid w:val="00DD46DC"/>
    <w:rsid w:val="00DE5E01"/>
    <w:rsid w:val="00DF4F51"/>
    <w:rsid w:val="00DF5169"/>
    <w:rsid w:val="00E1559D"/>
    <w:rsid w:val="00E31FF7"/>
    <w:rsid w:val="00E41319"/>
    <w:rsid w:val="00E43C34"/>
    <w:rsid w:val="00E443C1"/>
    <w:rsid w:val="00E518FB"/>
    <w:rsid w:val="00E5631F"/>
    <w:rsid w:val="00E65C50"/>
    <w:rsid w:val="00E85562"/>
    <w:rsid w:val="00E939AF"/>
    <w:rsid w:val="00F02949"/>
    <w:rsid w:val="00F41C78"/>
    <w:rsid w:val="00F41DC7"/>
    <w:rsid w:val="00F500DC"/>
    <w:rsid w:val="00F53823"/>
    <w:rsid w:val="00F97796"/>
    <w:rsid w:val="00FA0FEB"/>
    <w:rsid w:val="00FA13D4"/>
    <w:rsid w:val="00FB146A"/>
    <w:rsid w:val="00FC22D0"/>
    <w:rsid w:val="00FE274F"/>
    <w:rsid w:val="00FE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F5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ED"/>
    <w:rPr>
      <w:rFonts w:ascii="Times New Roman" w:eastAsia="Calibri" w:hAnsi="Times New Roman" w:cs="Times New Roman"/>
      <w:sz w:val="24"/>
    </w:rPr>
  </w:style>
  <w:style w:type="paragraph" w:styleId="Heading1">
    <w:name w:val="heading 1"/>
    <w:basedOn w:val="Normal"/>
    <w:next w:val="Normal"/>
    <w:link w:val="Heading1Char"/>
    <w:uiPriority w:val="9"/>
    <w:qFormat/>
    <w:rsid w:val="006661E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6661ED"/>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6661ED"/>
    <w:pPr>
      <w:keepNext/>
      <w:keepLines/>
      <w:spacing w:before="200" w:after="0"/>
      <w:outlineLvl w:val="2"/>
    </w:pPr>
    <w:rPr>
      <w:rFonts w:ascii="Cambria" w:eastAsia="Times New Roman" w:hAnsi="Cambria"/>
      <w:b/>
      <w:bCs/>
      <w:color w:val="4F81BD"/>
      <w:sz w:val="20"/>
      <w:szCs w:val="20"/>
      <w:lang w:val="x-none" w:eastAsia="x-none"/>
    </w:rPr>
  </w:style>
  <w:style w:type="paragraph" w:styleId="Heading5">
    <w:name w:val="heading 5"/>
    <w:basedOn w:val="Normal"/>
    <w:next w:val="Normal"/>
    <w:link w:val="Heading5Char"/>
    <w:uiPriority w:val="9"/>
    <w:semiHidden/>
    <w:unhideWhenUsed/>
    <w:qFormat/>
    <w:rsid w:val="0080610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0610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1ED"/>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6661ED"/>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6661ED"/>
    <w:rPr>
      <w:rFonts w:ascii="Cambria" w:eastAsia="Times New Roman" w:hAnsi="Cambria" w:cs="Times New Roman"/>
      <w:b/>
      <w:bCs/>
      <w:color w:val="4F81BD"/>
      <w:sz w:val="20"/>
      <w:szCs w:val="20"/>
      <w:lang w:val="x-none" w:eastAsia="x-none"/>
    </w:rPr>
  </w:style>
  <w:style w:type="paragraph" w:styleId="BalloonText">
    <w:name w:val="Balloon Text"/>
    <w:basedOn w:val="Normal"/>
    <w:link w:val="BalloonTextChar"/>
    <w:uiPriority w:val="99"/>
    <w:semiHidden/>
    <w:unhideWhenUsed/>
    <w:rsid w:val="006661ED"/>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661ED"/>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666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1ED"/>
    <w:rPr>
      <w:rFonts w:ascii="Times New Roman" w:eastAsia="Calibri" w:hAnsi="Times New Roman" w:cs="Times New Roman"/>
      <w:sz w:val="24"/>
    </w:rPr>
  </w:style>
  <w:style w:type="paragraph" w:styleId="Footer">
    <w:name w:val="footer"/>
    <w:basedOn w:val="Normal"/>
    <w:link w:val="FooterChar"/>
    <w:uiPriority w:val="99"/>
    <w:unhideWhenUsed/>
    <w:rsid w:val="00666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1ED"/>
    <w:rPr>
      <w:rFonts w:ascii="Times New Roman" w:eastAsia="Calibri" w:hAnsi="Times New Roman" w:cs="Times New Roman"/>
      <w:sz w:val="24"/>
    </w:rPr>
  </w:style>
  <w:style w:type="table" w:styleId="TableGrid">
    <w:name w:val="Table Grid"/>
    <w:basedOn w:val="TableNormal"/>
    <w:uiPriority w:val="59"/>
    <w:rsid w:val="006661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61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661ED"/>
    <w:pPr>
      <w:ind w:left="720"/>
      <w:contextualSpacing/>
    </w:pPr>
  </w:style>
  <w:style w:type="paragraph" w:customStyle="1" w:styleId="EndNoteBibliographyTitle">
    <w:name w:val="EndNote Bibliography Title"/>
    <w:basedOn w:val="Normal"/>
    <w:link w:val="EndNoteBibliographyTitleChar"/>
    <w:rsid w:val="006661ED"/>
    <w:pPr>
      <w:spacing w:after="0"/>
      <w:jc w:val="center"/>
    </w:pPr>
    <w:rPr>
      <w:rFonts w:ascii="Calibri" w:hAnsi="Calibri"/>
      <w:noProof/>
      <w:sz w:val="20"/>
      <w:szCs w:val="20"/>
      <w:lang w:val="x-none" w:eastAsia="x-none"/>
    </w:rPr>
  </w:style>
  <w:style w:type="character" w:customStyle="1" w:styleId="EndNoteBibliographyTitleChar">
    <w:name w:val="EndNote Bibliography Title Char"/>
    <w:link w:val="EndNoteBibliographyTitle"/>
    <w:rsid w:val="006661ED"/>
    <w:rPr>
      <w:rFonts w:ascii="Calibri" w:eastAsia="Calibri" w:hAnsi="Calibri" w:cs="Times New Roman"/>
      <w:noProof/>
      <w:sz w:val="20"/>
      <w:szCs w:val="20"/>
      <w:lang w:val="x-none" w:eastAsia="x-none"/>
    </w:rPr>
  </w:style>
  <w:style w:type="paragraph" w:customStyle="1" w:styleId="EndNoteBibliography">
    <w:name w:val="EndNote Bibliography"/>
    <w:basedOn w:val="Normal"/>
    <w:link w:val="EndNoteBibliographyChar"/>
    <w:rsid w:val="006661ED"/>
    <w:pPr>
      <w:spacing w:line="240" w:lineRule="auto"/>
    </w:pPr>
    <w:rPr>
      <w:rFonts w:ascii="Calibri" w:hAnsi="Calibri"/>
      <w:noProof/>
      <w:sz w:val="20"/>
      <w:szCs w:val="20"/>
      <w:lang w:val="x-none" w:eastAsia="x-none"/>
    </w:rPr>
  </w:style>
  <w:style w:type="character" w:customStyle="1" w:styleId="EndNoteBibliographyChar">
    <w:name w:val="EndNote Bibliography Char"/>
    <w:link w:val="EndNoteBibliography"/>
    <w:rsid w:val="006661ED"/>
    <w:rPr>
      <w:rFonts w:ascii="Calibri" w:eastAsia="Calibri" w:hAnsi="Calibri" w:cs="Times New Roman"/>
      <w:noProof/>
      <w:sz w:val="20"/>
      <w:szCs w:val="20"/>
      <w:lang w:val="x-none" w:eastAsia="x-none"/>
    </w:rPr>
  </w:style>
  <w:style w:type="character" w:styleId="Hyperlink">
    <w:name w:val="Hyperlink"/>
    <w:uiPriority w:val="99"/>
    <w:unhideWhenUsed/>
    <w:rsid w:val="006661ED"/>
    <w:rPr>
      <w:color w:val="0000FF"/>
      <w:u w:val="single"/>
    </w:rPr>
  </w:style>
  <w:style w:type="character" w:styleId="PlaceholderText">
    <w:name w:val="Placeholder Text"/>
    <w:uiPriority w:val="99"/>
    <w:semiHidden/>
    <w:rsid w:val="006661ED"/>
    <w:rPr>
      <w:color w:val="808080"/>
    </w:rPr>
  </w:style>
  <w:style w:type="paragraph" w:styleId="TOCHeading">
    <w:name w:val="TOC Heading"/>
    <w:basedOn w:val="Heading1"/>
    <w:next w:val="Normal"/>
    <w:uiPriority w:val="39"/>
    <w:semiHidden/>
    <w:unhideWhenUsed/>
    <w:qFormat/>
    <w:rsid w:val="006661ED"/>
    <w:pPr>
      <w:outlineLvl w:val="9"/>
    </w:pPr>
    <w:rPr>
      <w:lang w:eastAsia="ja-JP"/>
    </w:rPr>
  </w:style>
  <w:style w:type="paragraph" w:styleId="TOC1">
    <w:name w:val="toc 1"/>
    <w:basedOn w:val="Normal"/>
    <w:next w:val="Normal"/>
    <w:autoRedefine/>
    <w:uiPriority w:val="39"/>
    <w:unhideWhenUsed/>
    <w:rsid w:val="006661ED"/>
    <w:pPr>
      <w:spacing w:after="100"/>
    </w:pPr>
  </w:style>
  <w:style w:type="paragraph" w:styleId="TOC2">
    <w:name w:val="toc 2"/>
    <w:basedOn w:val="Normal"/>
    <w:next w:val="Normal"/>
    <w:autoRedefine/>
    <w:uiPriority w:val="39"/>
    <w:unhideWhenUsed/>
    <w:rsid w:val="006661ED"/>
    <w:pPr>
      <w:spacing w:after="100"/>
      <w:ind w:left="220"/>
    </w:pPr>
  </w:style>
  <w:style w:type="paragraph" w:styleId="TOC3">
    <w:name w:val="toc 3"/>
    <w:basedOn w:val="Normal"/>
    <w:next w:val="Normal"/>
    <w:autoRedefine/>
    <w:uiPriority w:val="39"/>
    <w:unhideWhenUsed/>
    <w:rsid w:val="006661ED"/>
    <w:pPr>
      <w:spacing w:after="100"/>
      <w:ind w:left="440"/>
    </w:pPr>
  </w:style>
  <w:style w:type="paragraph" w:styleId="Caption">
    <w:name w:val="caption"/>
    <w:basedOn w:val="Normal"/>
    <w:next w:val="Normal"/>
    <w:uiPriority w:val="35"/>
    <w:unhideWhenUsed/>
    <w:qFormat/>
    <w:rsid w:val="006661ED"/>
    <w:pPr>
      <w:spacing w:line="240" w:lineRule="auto"/>
    </w:pPr>
    <w:rPr>
      <w:b/>
      <w:bCs/>
      <w:color w:val="4F81BD"/>
      <w:sz w:val="18"/>
      <w:szCs w:val="18"/>
    </w:rPr>
  </w:style>
  <w:style w:type="paragraph" w:styleId="NoSpacing">
    <w:name w:val="No Spacing"/>
    <w:link w:val="NoSpacingChar"/>
    <w:uiPriority w:val="1"/>
    <w:qFormat/>
    <w:rsid w:val="006661ED"/>
    <w:pPr>
      <w:spacing w:after="0" w:line="240" w:lineRule="auto"/>
    </w:pPr>
    <w:rPr>
      <w:rFonts w:ascii="Calibri" w:eastAsia="Times New Roman" w:hAnsi="Calibri" w:cs="Times New Roman"/>
      <w:sz w:val="20"/>
      <w:szCs w:val="20"/>
      <w:lang w:eastAsia="ja-JP"/>
    </w:rPr>
  </w:style>
  <w:style w:type="character" w:customStyle="1" w:styleId="NoSpacingChar">
    <w:name w:val="No Spacing Char"/>
    <w:link w:val="NoSpacing"/>
    <w:uiPriority w:val="1"/>
    <w:rsid w:val="006661ED"/>
    <w:rPr>
      <w:rFonts w:ascii="Calibri" w:eastAsia="Times New Roman" w:hAnsi="Calibri" w:cs="Times New Roman"/>
      <w:sz w:val="20"/>
      <w:szCs w:val="20"/>
      <w:lang w:eastAsia="ja-JP"/>
    </w:rPr>
  </w:style>
  <w:style w:type="paragraph" w:styleId="Title">
    <w:name w:val="Title"/>
    <w:basedOn w:val="Normal"/>
    <w:next w:val="Normal"/>
    <w:link w:val="TitleChar"/>
    <w:uiPriority w:val="10"/>
    <w:qFormat/>
    <w:rsid w:val="006661E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ja-JP"/>
    </w:rPr>
  </w:style>
  <w:style w:type="character" w:customStyle="1" w:styleId="TitleChar">
    <w:name w:val="Title Char"/>
    <w:basedOn w:val="DefaultParagraphFont"/>
    <w:link w:val="Title"/>
    <w:uiPriority w:val="10"/>
    <w:rsid w:val="006661ED"/>
    <w:rPr>
      <w:rFonts w:ascii="Cambria" w:eastAsia="Times New Roman" w:hAnsi="Cambria" w:cs="Times New Roman"/>
      <w:color w:val="17365D"/>
      <w:spacing w:val="5"/>
      <w:kern w:val="28"/>
      <w:sz w:val="52"/>
      <w:szCs w:val="52"/>
      <w:lang w:val="x-none" w:eastAsia="ja-JP"/>
    </w:rPr>
  </w:style>
  <w:style w:type="paragraph" w:styleId="Subtitle">
    <w:name w:val="Subtitle"/>
    <w:basedOn w:val="Normal"/>
    <w:next w:val="Normal"/>
    <w:link w:val="SubtitleChar"/>
    <w:uiPriority w:val="11"/>
    <w:qFormat/>
    <w:rsid w:val="006661ED"/>
    <w:pPr>
      <w:numPr>
        <w:ilvl w:val="1"/>
      </w:numPr>
    </w:pPr>
    <w:rPr>
      <w:rFonts w:ascii="Cambria" w:eastAsia="Times New Roman" w:hAnsi="Cambria"/>
      <w:i/>
      <w:iCs/>
      <w:color w:val="4F81BD"/>
      <w:spacing w:val="15"/>
      <w:szCs w:val="24"/>
      <w:lang w:val="x-none" w:eastAsia="ja-JP"/>
    </w:rPr>
  </w:style>
  <w:style w:type="character" w:customStyle="1" w:styleId="SubtitleChar">
    <w:name w:val="Subtitle Char"/>
    <w:basedOn w:val="DefaultParagraphFont"/>
    <w:link w:val="Subtitle"/>
    <w:uiPriority w:val="11"/>
    <w:rsid w:val="006661ED"/>
    <w:rPr>
      <w:rFonts w:ascii="Cambria" w:eastAsia="Times New Roman" w:hAnsi="Cambria" w:cs="Times New Roman"/>
      <w:i/>
      <w:iCs/>
      <w:color w:val="4F81BD"/>
      <w:spacing w:val="15"/>
      <w:sz w:val="24"/>
      <w:szCs w:val="24"/>
      <w:lang w:val="x-none" w:eastAsia="ja-JP"/>
    </w:rPr>
  </w:style>
  <w:style w:type="paragraph" w:styleId="CommentText">
    <w:name w:val="annotation text"/>
    <w:basedOn w:val="Normal"/>
    <w:link w:val="CommentTextChar"/>
    <w:uiPriority w:val="99"/>
    <w:unhideWhenUsed/>
    <w:rsid w:val="006661ED"/>
    <w:pPr>
      <w:spacing w:line="240" w:lineRule="auto"/>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6661ED"/>
    <w:rPr>
      <w:rFonts w:ascii="Calibri" w:eastAsia="Calibri" w:hAnsi="Calibri" w:cs="Times New Roman"/>
      <w:sz w:val="20"/>
      <w:szCs w:val="20"/>
      <w:lang w:val="x-none" w:eastAsia="x-none"/>
    </w:rPr>
  </w:style>
  <w:style w:type="paragraph" w:styleId="NormalWeb">
    <w:name w:val="Normal (Web)"/>
    <w:basedOn w:val="Normal"/>
    <w:uiPriority w:val="99"/>
    <w:unhideWhenUsed/>
    <w:rsid w:val="00321CB0"/>
    <w:pPr>
      <w:spacing w:before="100" w:beforeAutospacing="1" w:after="100" w:afterAutospacing="1" w:line="240" w:lineRule="auto"/>
    </w:pPr>
    <w:rPr>
      <w:rFonts w:eastAsia="Times New Roman"/>
      <w:szCs w:val="24"/>
    </w:rPr>
  </w:style>
  <w:style w:type="character" w:customStyle="1" w:styleId="Heading5Char">
    <w:name w:val="Heading 5 Char"/>
    <w:basedOn w:val="DefaultParagraphFont"/>
    <w:link w:val="Heading5"/>
    <w:uiPriority w:val="9"/>
    <w:semiHidden/>
    <w:rsid w:val="00806103"/>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806103"/>
    <w:rPr>
      <w:rFonts w:asciiTheme="majorHAnsi" w:eastAsiaTheme="majorEastAsia" w:hAnsiTheme="majorHAnsi" w:cstheme="majorBidi"/>
      <w:color w:val="243F60" w:themeColor="accent1" w:themeShade="7F"/>
      <w:sz w:val="24"/>
    </w:rPr>
  </w:style>
  <w:style w:type="paragraph" w:styleId="z-TopofForm">
    <w:name w:val="HTML Top of Form"/>
    <w:basedOn w:val="Normal"/>
    <w:next w:val="Normal"/>
    <w:link w:val="z-TopofFormChar"/>
    <w:hidden/>
    <w:uiPriority w:val="99"/>
    <w:semiHidden/>
    <w:unhideWhenUsed/>
    <w:rsid w:val="008061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6103"/>
    <w:rPr>
      <w:rFonts w:ascii="Arial" w:eastAsia="Times New Roman" w:hAnsi="Arial" w:cs="Arial"/>
      <w:vanish/>
      <w:sz w:val="16"/>
      <w:szCs w:val="16"/>
    </w:rPr>
  </w:style>
  <w:style w:type="paragraph" w:customStyle="1" w:styleId="placeholder">
    <w:name w:val="placeholder"/>
    <w:basedOn w:val="Normal"/>
    <w:rsid w:val="00806103"/>
    <w:pPr>
      <w:spacing w:before="100" w:beforeAutospacing="1" w:after="100" w:afterAutospacing="1" w:line="240" w:lineRule="auto"/>
    </w:pPr>
    <w:rPr>
      <w:rFonts w:eastAsia="Times New Roman"/>
      <w:szCs w:val="24"/>
    </w:rPr>
  </w:style>
  <w:style w:type="paragraph" w:styleId="z-BottomofForm">
    <w:name w:val="HTML Bottom of Form"/>
    <w:basedOn w:val="Normal"/>
    <w:next w:val="Normal"/>
    <w:link w:val="z-BottomofFormChar"/>
    <w:hidden/>
    <w:uiPriority w:val="99"/>
    <w:semiHidden/>
    <w:unhideWhenUsed/>
    <w:rsid w:val="008061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6103"/>
    <w:rPr>
      <w:rFonts w:ascii="Arial" w:eastAsia="Times New Roman" w:hAnsi="Arial" w:cs="Arial"/>
      <w:vanish/>
      <w:sz w:val="16"/>
      <w:szCs w:val="16"/>
    </w:rPr>
  </w:style>
  <w:style w:type="character" w:styleId="Emphasis">
    <w:name w:val="Emphasis"/>
    <w:basedOn w:val="DefaultParagraphFont"/>
    <w:uiPriority w:val="20"/>
    <w:qFormat/>
    <w:rsid w:val="002650BA"/>
    <w:rPr>
      <w:i/>
      <w:iCs/>
    </w:rPr>
  </w:style>
  <w:style w:type="character" w:styleId="Strong">
    <w:name w:val="Strong"/>
    <w:basedOn w:val="DefaultParagraphFont"/>
    <w:uiPriority w:val="22"/>
    <w:qFormat/>
    <w:rsid w:val="005530D1"/>
    <w:rPr>
      <w:b/>
      <w:bCs/>
    </w:rPr>
  </w:style>
  <w:style w:type="character" w:customStyle="1" w:styleId="ff5">
    <w:name w:val="ff5"/>
    <w:basedOn w:val="DefaultParagraphFont"/>
    <w:rsid w:val="006353E3"/>
  </w:style>
  <w:style w:type="character" w:customStyle="1" w:styleId="lsd0">
    <w:name w:val="lsd0"/>
    <w:basedOn w:val="DefaultParagraphFont"/>
    <w:rsid w:val="006353E3"/>
  </w:style>
  <w:style w:type="character" w:customStyle="1" w:styleId="ff3">
    <w:name w:val="ff3"/>
    <w:basedOn w:val="DefaultParagraphFont"/>
    <w:rsid w:val="006353E3"/>
  </w:style>
  <w:style w:type="character" w:customStyle="1" w:styleId="ff1">
    <w:name w:val="ff1"/>
    <w:basedOn w:val="DefaultParagraphFont"/>
    <w:rsid w:val="006353E3"/>
  </w:style>
  <w:style w:type="character" w:customStyle="1" w:styleId="a">
    <w:name w:val="_"/>
    <w:basedOn w:val="DefaultParagraphFont"/>
    <w:rsid w:val="006353E3"/>
  </w:style>
  <w:style w:type="character" w:customStyle="1" w:styleId="ws59">
    <w:name w:val="ws59"/>
    <w:basedOn w:val="DefaultParagraphFont"/>
    <w:rsid w:val="00866379"/>
  </w:style>
  <w:style w:type="table" w:styleId="LightShading-Accent1">
    <w:name w:val="Light Shading Accent 1"/>
    <w:basedOn w:val="TableNormal"/>
    <w:uiPriority w:val="60"/>
    <w:rsid w:val="007841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lmyear">
    <w:name w:val="nlm_year"/>
    <w:basedOn w:val="DefaultParagraphFont"/>
    <w:rsid w:val="004E1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ED"/>
    <w:rPr>
      <w:rFonts w:ascii="Times New Roman" w:eastAsia="Calibri" w:hAnsi="Times New Roman" w:cs="Times New Roman"/>
      <w:sz w:val="24"/>
    </w:rPr>
  </w:style>
  <w:style w:type="paragraph" w:styleId="Heading1">
    <w:name w:val="heading 1"/>
    <w:basedOn w:val="Normal"/>
    <w:next w:val="Normal"/>
    <w:link w:val="Heading1Char"/>
    <w:uiPriority w:val="9"/>
    <w:qFormat/>
    <w:rsid w:val="006661E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6661ED"/>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6661ED"/>
    <w:pPr>
      <w:keepNext/>
      <w:keepLines/>
      <w:spacing w:before="200" w:after="0"/>
      <w:outlineLvl w:val="2"/>
    </w:pPr>
    <w:rPr>
      <w:rFonts w:ascii="Cambria" w:eastAsia="Times New Roman" w:hAnsi="Cambria"/>
      <w:b/>
      <w:bCs/>
      <w:color w:val="4F81BD"/>
      <w:sz w:val="20"/>
      <w:szCs w:val="20"/>
      <w:lang w:val="x-none" w:eastAsia="x-none"/>
    </w:rPr>
  </w:style>
  <w:style w:type="paragraph" w:styleId="Heading5">
    <w:name w:val="heading 5"/>
    <w:basedOn w:val="Normal"/>
    <w:next w:val="Normal"/>
    <w:link w:val="Heading5Char"/>
    <w:uiPriority w:val="9"/>
    <w:semiHidden/>
    <w:unhideWhenUsed/>
    <w:qFormat/>
    <w:rsid w:val="0080610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0610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1ED"/>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6661ED"/>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6661ED"/>
    <w:rPr>
      <w:rFonts w:ascii="Cambria" w:eastAsia="Times New Roman" w:hAnsi="Cambria" w:cs="Times New Roman"/>
      <w:b/>
      <w:bCs/>
      <w:color w:val="4F81BD"/>
      <w:sz w:val="20"/>
      <w:szCs w:val="20"/>
      <w:lang w:val="x-none" w:eastAsia="x-none"/>
    </w:rPr>
  </w:style>
  <w:style w:type="paragraph" w:styleId="BalloonText">
    <w:name w:val="Balloon Text"/>
    <w:basedOn w:val="Normal"/>
    <w:link w:val="BalloonTextChar"/>
    <w:uiPriority w:val="99"/>
    <w:semiHidden/>
    <w:unhideWhenUsed/>
    <w:rsid w:val="006661ED"/>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661ED"/>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666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1ED"/>
    <w:rPr>
      <w:rFonts w:ascii="Times New Roman" w:eastAsia="Calibri" w:hAnsi="Times New Roman" w:cs="Times New Roman"/>
      <w:sz w:val="24"/>
    </w:rPr>
  </w:style>
  <w:style w:type="paragraph" w:styleId="Footer">
    <w:name w:val="footer"/>
    <w:basedOn w:val="Normal"/>
    <w:link w:val="FooterChar"/>
    <w:uiPriority w:val="99"/>
    <w:unhideWhenUsed/>
    <w:rsid w:val="00666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1ED"/>
    <w:rPr>
      <w:rFonts w:ascii="Times New Roman" w:eastAsia="Calibri" w:hAnsi="Times New Roman" w:cs="Times New Roman"/>
      <w:sz w:val="24"/>
    </w:rPr>
  </w:style>
  <w:style w:type="table" w:styleId="TableGrid">
    <w:name w:val="Table Grid"/>
    <w:basedOn w:val="TableNormal"/>
    <w:uiPriority w:val="59"/>
    <w:rsid w:val="006661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61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661ED"/>
    <w:pPr>
      <w:ind w:left="720"/>
      <w:contextualSpacing/>
    </w:pPr>
  </w:style>
  <w:style w:type="paragraph" w:customStyle="1" w:styleId="EndNoteBibliographyTitle">
    <w:name w:val="EndNote Bibliography Title"/>
    <w:basedOn w:val="Normal"/>
    <w:link w:val="EndNoteBibliographyTitleChar"/>
    <w:rsid w:val="006661ED"/>
    <w:pPr>
      <w:spacing w:after="0"/>
      <w:jc w:val="center"/>
    </w:pPr>
    <w:rPr>
      <w:rFonts w:ascii="Calibri" w:hAnsi="Calibri"/>
      <w:noProof/>
      <w:sz w:val="20"/>
      <w:szCs w:val="20"/>
      <w:lang w:val="x-none" w:eastAsia="x-none"/>
    </w:rPr>
  </w:style>
  <w:style w:type="character" w:customStyle="1" w:styleId="EndNoteBibliographyTitleChar">
    <w:name w:val="EndNote Bibliography Title Char"/>
    <w:link w:val="EndNoteBibliographyTitle"/>
    <w:rsid w:val="006661ED"/>
    <w:rPr>
      <w:rFonts w:ascii="Calibri" w:eastAsia="Calibri" w:hAnsi="Calibri" w:cs="Times New Roman"/>
      <w:noProof/>
      <w:sz w:val="20"/>
      <w:szCs w:val="20"/>
      <w:lang w:val="x-none" w:eastAsia="x-none"/>
    </w:rPr>
  </w:style>
  <w:style w:type="paragraph" w:customStyle="1" w:styleId="EndNoteBibliography">
    <w:name w:val="EndNote Bibliography"/>
    <w:basedOn w:val="Normal"/>
    <w:link w:val="EndNoteBibliographyChar"/>
    <w:rsid w:val="006661ED"/>
    <w:pPr>
      <w:spacing w:line="240" w:lineRule="auto"/>
    </w:pPr>
    <w:rPr>
      <w:rFonts w:ascii="Calibri" w:hAnsi="Calibri"/>
      <w:noProof/>
      <w:sz w:val="20"/>
      <w:szCs w:val="20"/>
      <w:lang w:val="x-none" w:eastAsia="x-none"/>
    </w:rPr>
  </w:style>
  <w:style w:type="character" w:customStyle="1" w:styleId="EndNoteBibliographyChar">
    <w:name w:val="EndNote Bibliography Char"/>
    <w:link w:val="EndNoteBibliography"/>
    <w:rsid w:val="006661ED"/>
    <w:rPr>
      <w:rFonts w:ascii="Calibri" w:eastAsia="Calibri" w:hAnsi="Calibri" w:cs="Times New Roman"/>
      <w:noProof/>
      <w:sz w:val="20"/>
      <w:szCs w:val="20"/>
      <w:lang w:val="x-none" w:eastAsia="x-none"/>
    </w:rPr>
  </w:style>
  <w:style w:type="character" w:styleId="Hyperlink">
    <w:name w:val="Hyperlink"/>
    <w:uiPriority w:val="99"/>
    <w:unhideWhenUsed/>
    <w:rsid w:val="006661ED"/>
    <w:rPr>
      <w:color w:val="0000FF"/>
      <w:u w:val="single"/>
    </w:rPr>
  </w:style>
  <w:style w:type="character" w:styleId="PlaceholderText">
    <w:name w:val="Placeholder Text"/>
    <w:uiPriority w:val="99"/>
    <w:semiHidden/>
    <w:rsid w:val="006661ED"/>
    <w:rPr>
      <w:color w:val="808080"/>
    </w:rPr>
  </w:style>
  <w:style w:type="paragraph" w:styleId="TOCHeading">
    <w:name w:val="TOC Heading"/>
    <w:basedOn w:val="Heading1"/>
    <w:next w:val="Normal"/>
    <w:uiPriority w:val="39"/>
    <w:semiHidden/>
    <w:unhideWhenUsed/>
    <w:qFormat/>
    <w:rsid w:val="006661ED"/>
    <w:pPr>
      <w:outlineLvl w:val="9"/>
    </w:pPr>
    <w:rPr>
      <w:lang w:eastAsia="ja-JP"/>
    </w:rPr>
  </w:style>
  <w:style w:type="paragraph" w:styleId="TOC1">
    <w:name w:val="toc 1"/>
    <w:basedOn w:val="Normal"/>
    <w:next w:val="Normal"/>
    <w:autoRedefine/>
    <w:uiPriority w:val="39"/>
    <w:unhideWhenUsed/>
    <w:rsid w:val="006661ED"/>
    <w:pPr>
      <w:spacing w:after="100"/>
    </w:pPr>
  </w:style>
  <w:style w:type="paragraph" w:styleId="TOC2">
    <w:name w:val="toc 2"/>
    <w:basedOn w:val="Normal"/>
    <w:next w:val="Normal"/>
    <w:autoRedefine/>
    <w:uiPriority w:val="39"/>
    <w:unhideWhenUsed/>
    <w:rsid w:val="006661ED"/>
    <w:pPr>
      <w:spacing w:after="100"/>
      <w:ind w:left="220"/>
    </w:pPr>
  </w:style>
  <w:style w:type="paragraph" w:styleId="TOC3">
    <w:name w:val="toc 3"/>
    <w:basedOn w:val="Normal"/>
    <w:next w:val="Normal"/>
    <w:autoRedefine/>
    <w:uiPriority w:val="39"/>
    <w:unhideWhenUsed/>
    <w:rsid w:val="006661ED"/>
    <w:pPr>
      <w:spacing w:after="100"/>
      <w:ind w:left="440"/>
    </w:pPr>
  </w:style>
  <w:style w:type="paragraph" w:styleId="Caption">
    <w:name w:val="caption"/>
    <w:basedOn w:val="Normal"/>
    <w:next w:val="Normal"/>
    <w:uiPriority w:val="35"/>
    <w:unhideWhenUsed/>
    <w:qFormat/>
    <w:rsid w:val="006661ED"/>
    <w:pPr>
      <w:spacing w:line="240" w:lineRule="auto"/>
    </w:pPr>
    <w:rPr>
      <w:b/>
      <w:bCs/>
      <w:color w:val="4F81BD"/>
      <w:sz w:val="18"/>
      <w:szCs w:val="18"/>
    </w:rPr>
  </w:style>
  <w:style w:type="paragraph" w:styleId="NoSpacing">
    <w:name w:val="No Spacing"/>
    <w:link w:val="NoSpacingChar"/>
    <w:uiPriority w:val="1"/>
    <w:qFormat/>
    <w:rsid w:val="006661ED"/>
    <w:pPr>
      <w:spacing w:after="0" w:line="240" w:lineRule="auto"/>
    </w:pPr>
    <w:rPr>
      <w:rFonts w:ascii="Calibri" w:eastAsia="Times New Roman" w:hAnsi="Calibri" w:cs="Times New Roman"/>
      <w:sz w:val="20"/>
      <w:szCs w:val="20"/>
      <w:lang w:eastAsia="ja-JP"/>
    </w:rPr>
  </w:style>
  <w:style w:type="character" w:customStyle="1" w:styleId="NoSpacingChar">
    <w:name w:val="No Spacing Char"/>
    <w:link w:val="NoSpacing"/>
    <w:uiPriority w:val="1"/>
    <w:rsid w:val="006661ED"/>
    <w:rPr>
      <w:rFonts w:ascii="Calibri" w:eastAsia="Times New Roman" w:hAnsi="Calibri" w:cs="Times New Roman"/>
      <w:sz w:val="20"/>
      <w:szCs w:val="20"/>
      <w:lang w:eastAsia="ja-JP"/>
    </w:rPr>
  </w:style>
  <w:style w:type="paragraph" w:styleId="Title">
    <w:name w:val="Title"/>
    <w:basedOn w:val="Normal"/>
    <w:next w:val="Normal"/>
    <w:link w:val="TitleChar"/>
    <w:uiPriority w:val="10"/>
    <w:qFormat/>
    <w:rsid w:val="006661ED"/>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ja-JP"/>
    </w:rPr>
  </w:style>
  <w:style w:type="character" w:customStyle="1" w:styleId="TitleChar">
    <w:name w:val="Title Char"/>
    <w:basedOn w:val="DefaultParagraphFont"/>
    <w:link w:val="Title"/>
    <w:uiPriority w:val="10"/>
    <w:rsid w:val="006661ED"/>
    <w:rPr>
      <w:rFonts w:ascii="Cambria" w:eastAsia="Times New Roman" w:hAnsi="Cambria" w:cs="Times New Roman"/>
      <w:color w:val="17365D"/>
      <w:spacing w:val="5"/>
      <w:kern w:val="28"/>
      <w:sz w:val="52"/>
      <w:szCs w:val="52"/>
      <w:lang w:val="x-none" w:eastAsia="ja-JP"/>
    </w:rPr>
  </w:style>
  <w:style w:type="paragraph" w:styleId="Subtitle">
    <w:name w:val="Subtitle"/>
    <w:basedOn w:val="Normal"/>
    <w:next w:val="Normal"/>
    <w:link w:val="SubtitleChar"/>
    <w:uiPriority w:val="11"/>
    <w:qFormat/>
    <w:rsid w:val="006661ED"/>
    <w:pPr>
      <w:numPr>
        <w:ilvl w:val="1"/>
      </w:numPr>
    </w:pPr>
    <w:rPr>
      <w:rFonts w:ascii="Cambria" w:eastAsia="Times New Roman" w:hAnsi="Cambria"/>
      <w:i/>
      <w:iCs/>
      <w:color w:val="4F81BD"/>
      <w:spacing w:val="15"/>
      <w:szCs w:val="24"/>
      <w:lang w:val="x-none" w:eastAsia="ja-JP"/>
    </w:rPr>
  </w:style>
  <w:style w:type="character" w:customStyle="1" w:styleId="SubtitleChar">
    <w:name w:val="Subtitle Char"/>
    <w:basedOn w:val="DefaultParagraphFont"/>
    <w:link w:val="Subtitle"/>
    <w:uiPriority w:val="11"/>
    <w:rsid w:val="006661ED"/>
    <w:rPr>
      <w:rFonts w:ascii="Cambria" w:eastAsia="Times New Roman" w:hAnsi="Cambria" w:cs="Times New Roman"/>
      <w:i/>
      <w:iCs/>
      <w:color w:val="4F81BD"/>
      <w:spacing w:val="15"/>
      <w:sz w:val="24"/>
      <w:szCs w:val="24"/>
      <w:lang w:val="x-none" w:eastAsia="ja-JP"/>
    </w:rPr>
  </w:style>
  <w:style w:type="paragraph" w:styleId="CommentText">
    <w:name w:val="annotation text"/>
    <w:basedOn w:val="Normal"/>
    <w:link w:val="CommentTextChar"/>
    <w:uiPriority w:val="99"/>
    <w:unhideWhenUsed/>
    <w:rsid w:val="006661ED"/>
    <w:pPr>
      <w:spacing w:line="240" w:lineRule="auto"/>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6661ED"/>
    <w:rPr>
      <w:rFonts w:ascii="Calibri" w:eastAsia="Calibri" w:hAnsi="Calibri" w:cs="Times New Roman"/>
      <w:sz w:val="20"/>
      <w:szCs w:val="20"/>
      <w:lang w:val="x-none" w:eastAsia="x-none"/>
    </w:rPr>
  </w:style>
  <w:style w:type="paragraph" w:styleId="NormalWeb">
    <w:name w:val="Normal (Web)"/>
    <w:basedOn w:val="Normal"/>
    <w:uiPriority w:val="99"/>
    <w:unhideWhenUsed/>
    <w:rsid w:val="00321CB0"/>
    <w:pPr>
      <w:spacing w:before="100" w:beforeAutospacing="1" w:after="100" w:afterAutospacing="1" w:line="240" w:lineRule="auto"/>
    </w:pPr>
    <w:rPr>
      <w:rFonts w:eastAsia="Times New Roman"/>
      <w:szCs w:val="24"/>
    </w:rPr>
  </w:style>
  <w:style w:type="character" w:customStyle="1" w:styleId="Heading5Char">
    <w:name w:val="Heading 5 Char"/>
    <w:basedOn w:val="DefaultParagraphFont"/>
    <w:link w:val="Heading5"/>
    <w:uiPriority w:val="9"/>
    <w:semiHidden/>
    <w:rsid w:val="00806103"/>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806103"/>
    <w:rPr>
      <w:rFonts w:asciiTheme="majorHAnsi" w:eastAsiaTheme="majorEastAsia" w:hAnsiTheme="majorHAnsi" w:cstheme="majorBidi"/>
      <w:color w:val="243F60" w:themeColor="accent1" w:themeShade="7F"/>
      <w:sz w:val="24"/>
    </w:rPr>
  </w:style>
  <w:style w:type="paragraph" w:styleId="z-TopofForm">
    <w:name w:val="HTML Top of Form"/>
    <w:basedOn w:val="Normal"/>
    <w:next w:val="Normal"/>
    <w:link w:val="z-TopofFormChar"/>
    <w:hidden/>
    <w:uiPriority w:val="99"/>
    <w:semiHidden/>
    <w:unhideWhenUsed/>
    <w:rsid w:val="008061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6103"/>
    <w:rPr>
      <w:rFonts w:ascii="Arial" w:eastAsia="Times New Roman" w:hAnsi="Arial" w:cs="Arial"/>
      <w:vanish/>
      <w:sz w:val="16"/>
      <w:szCs w:val="16"/>
    </w:rPr>
  </w:style>
  <w:style w:type="paragraph" w:customStyle="1" w:styleId="placeholder">
    <w:name w:val="placeholder"/>
    <w:basedOn w:val="Normal"/>
    <w:rsid w:val="00806103"/>
    <w:pPr>
      <w:spacing w:before="100" w:beforeAutospacing="1" w:after="100" w:afterAutospacing="1" w:line="240" w:lineRule="auto"/>
    </w:pPr>
    <w:rPr>
      <w:rFonts w:eastAsia="Times New Roman"/>
      <w:szCs w:val="24"/>
    </w:rPr>
  </w:style>
  <w:style w:type="paragraph" w:styleId="z-BottomofForm">
    <w:name w:val="HTML Bottom of Form"/>
    <w:basedOn w:val="Normal"/>
    <w:next w:val="Normal"/>
    <w:link w:val="z-BottomofFormChar"/>
    <w:hidden/>
    <w:uiPriority w:val="99"/>
    <w:semiHidden/>
    <w:unhideWhenUsed/>
    <w:rsid w:val="008061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6103"/>
    <w:rPr>
      <w:rFonts w:ascii="Arial" w:eastAsia="Times New Roman" w:hAnsi="Arial" w:cs="Arial"/>
      <w:vanish/>
      <w:sz w:val="16"/>
      <w:szCs w:val="16"/>
    </w:rPr>
  </w:style>
  <w:style w:type="character" w:styleId="Emphasis">
    <w:name w:val="Emphasis"/>
    <w:basedOn w:val="DefaultParagraphFont"/>
    <w:uiPriority w:val="20"/>
    <w:qFormat/>
    <w:rsid w:val="002650BA"/>
    <w:rPr>
      <w:i/>
      <w:iCs/>
    </w:rPr>
  </w:style>
  <w:style w:type="character" w:styleId="Strong">
    <w:name w:val="Strong"/>
    <w:basedOn w:val="DefaultParagraphFont"/>
    <w:uiPriority w:val="22"/>
    <w:qFormat/>
    <w:rsid w:val="005530D1"/>
    <w:rPr>
      <w:b/>
      <w:bCs/>
    </w:rPr>
  </w:style>
  <w:style w:type="character" w:customStyle="1" w:styleId="ff5">
    <w:name w:val="ff5"/>
    <w:basedOn w:val="DefaultParagraphFont"/>
    <w:rsid w:val="006353E3"/>
  </w:style>
  <w:style w:type="character" w:customStyle="1" w:styleId="lsd0">
    <w:name w:val="lsd0"/>
    <w:basedOn w:val="DefaultParagraphFont"/>
    <w:rsid w:val="006353E3"/>
  </w:style>
  <w:style w:type="character" w:customStyle="1" w:styleId="ff3">
    <w:name w:val="ff3"/>
    <w:basedOn w:val="DefaultParagraphFont"/>
    <w:rsid w:val="006353E3"/>
  </w:style>
  <w:style w:type="character" w:customStyle="1" w:styleId="ff1">
    <w:name w:val="ff1"/>
    <w:basedOn w:val="DefaultParagraphFont"/>
    <w:rsid w:val="006353E3"/>
  </w:style>
  <w:style w:type="character" w:customStyle="1" w:styleId="a">
    <w:name w:val="_"/>
    <w:basedOn w:val="DefaultParagraphFont"/>
    <w:rsid w:val="006353E3"/>
  </w:style>
  <w:style w:type="character" w:customStyle="1" w:styleId="ws59">
    <w:name w:val="ws59"/>
    <w:basedOn w:val="DefaultParagraphFont"/>
    <w:rsid w:val="00866379"/>
  </w:style>
  <w:style w:type="table" w:styleId="LightShading-Accent1">
    <w:name w:val="Light Shading Accent 1"/>
    <w:basedOn w:val="TableNormal"/>
    <w:uiPriority w:val="60"/>
    <w:rsid w:val="007841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lmyear">
    <w:name w:val="nlm_year"/>
    <w:basedOn w:val="DefaultParagraphFont"/>
    <w:rsid w:val="004E1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78073">
      <w:bodyDiv w:val="1"/>
      <w:marLeft w:val="0"/>
      <w:marRight w:val="0"/>
      <w:marTop w:val="0"/>
      <w:marBottom w:val="0"/>
      <w:divBdr>
        <w:top w:val="none" w:sz="0" w:space="0" w:color="auto"/>
        <w:left w:val="none" w:sz="0" w:space="0" w:color="auto"/>
        <w:bottom w:val="none" w:sz="0" w:space="0" w:color="auto"/>
        <w:right w:val="none" w:sz="0" w:space="0" w:color="auto"/>
      </w:divBdr>
    </w:div>
    <w:div w:id="322974035">
      <w:bodyDiv w:val="1"/>
      <w:marLeft w:val="0"/>
      <w:marRight w:val="0"/>
      <w:marTop w:val="0"/>
      <w:marBottom w:val="0"/>
      <w:divBdr>
        <w:top w:val="none" w:sz="0" w:space="0" w:color="auto"/>
        <w:left w:val="none" w:sz="0" w:space="0" w:color="auto"/>
        <w:bottom w:val="none" w:sz="0" w:space="0" w:color="auto"/>
        <w:right w:val="none" w:sz="0" w:space="0" w:color="auto"/>
      </w:divBdr>
    </w:div>
    <w:div w:id="748842136">
      <w:bodyDiv w:val="1"/>
      <w:marLeft w:val="0"/>
      <w:marRight w:val="0"/>
      <w:marTop w:val="0"/>
      <w:marBottom w:val="0"/>
      <w:divBdr>
        <w:top w:val="none" w:sz="0" w:space="0" w:color="auto"/>
        <w:left w:val="none" w:sz="0" w:space="0" w:color="auto"/>
        <w:bottom w:val="none" w:sz="0" w:space="0" w:color="auto"/>
        <w:right w:val="none" w:sz="0" w:space="0" w:color="auto"/>
      </w:divBdr>
    </w:div>
    <w:div w:id="915090865">
      <w:bodyDiv w:val="1"/>
      <w:marLeft w:val="0"/>
      <w:marRight w:val="0"/>
      <w:marTop w:val="0"/>
      <w:marBottom w:val="0"/>
      <w:divBdr>
        <w:top w:val="none" w:sz="0" w:space="0" w:color="auto"/>
        <w:left w:val="none" w:sz="0" w:space="0" w:color="auto"/>
        <w:bottom w:val="none" w:sz="0" w:space="0" w:color="auto"/>
        <w:right w:val="none" w:sz="0" w:space="0" w:color="auto"/>
      </w:divBdr>
    </w:div>
    <w:div w:id="1060713660">
      <w:bodyDiv w:val="1"/>
      <w:marLeft w:val="0"/>
      <w:marRight w:val="0"/>
      <w:marTop w:val="0"/>
      <w:marBottom w:val="0"/>
      <w:divBdr>
        <w:top w:val="none" w:sz="0" w:space="0" w:color="auto"/>
        <w:left w:val="none" w:sz="0" w:space="0" w:color="auto"/>
        <w:bottom w:val="none" w:sz="0" w:space="0" w:color="auto"/>
        <w:right w:val="none" w:sz="0" w:space="0" w:color="auto"/>
      </w:divBdr>
    </w:div>
    <w:div w:id="1081177819">
      <w:bodyDiv w:val="1"/>
      <w:marLeft w:val="0"/>
      <w:marRight w:val="0"/>
      <w:marTop w:val="0"/>
      <w:marBottom w:val="0"/>
      <w:divBdr>
        <w:top w:val="none" w:sz="0" w:space="0" w:color="auto"/>
        <w:left w:val="none" w:sz="0" w:space="0" w:color="auto"/>
        <w:bottom w:val="none" w:sz="0" w:space="0" w:color="auto"/>
        <w:right w:val="none" w:sz="0" w:space="0" w:color="auto"/>
      </w:divBdr>
    </w:div>
    <w:div w:id="1297029004">
      <w:bodyDiv w:val="1"/>
      <w:marLeft w:val="0"/>
      <w:marRight w:val="0"/>
      <w:marTop w:val="0"/>
      <w:marBottom w:val="0"/>
      <w:divBdr>
        <w:top w:val="none" w:sz="0" w:space="0" w:color="auto"/>
        <w:left w:val="none" w:sz="0" w:space="0" w:color="auto"/>
        <w:bottom w:val="none" w:sz="0" w:space="0" w:color="auto"/>
        <w:right w:val="none" w:sz="0" w:space="0" w:color="auto"/>
      </w:divBdr>
      <w:divsChild>
        <w:div w:id="522322693">
          <w:marLeft w:val="0"/>
          <w:marRight w:val="0"/>
          <w:marTop w:val="0"/>
          <w:marBottom w:val="0"/>
          <w:divBdr>
            <w:top w:val="none" w:sz="0" w:space="0" w:color="auto"/>
            <w:left w:val="none" w:sz="0" w:space="0" w:color="auto"/>
            <w:bottom w:val="none" w:sz="0" w:space="0" w:color="auto"/>
            <w:right w:val="none" w:sz="0" w:space="0" w:color="auto"/>
          </w:divBdr>
          <w:divsChild>
            <w:div w:id="989481826">
              <w:marLeft w:val="0"/>
              <w:marRight w:val="0"/>
              <w:marTop w:val="0"/>
              <w:marBottom w:val="0"/>
              <w:divBdr>
                <w:top w:val="none" w:sz="0" w:space="0" w:color="auto"/>
                <w:left w:val="none" w:sz="0" w:space="0" w:color="auto"/>
                <w:bottom w:val="none" w:sz="0" w:space="0" w:color="auto"/>
                <w:right w:val="none" w:sz="0" w:space="0" w:color="auto"/>
              </w:divBdr>
              <w:divsChild>
                <w:div w:id="1216896075">
                  <w:marLeft w:val="0"/>
                  <w:marRight w:val="0"/>
                  <w:marTop w:val="0"/>
                  <w:marBottom w:val="0"/>
                  <w:divBdr>
                    <w:top w:val="none" w:sz="0" w:space="0" w:color="auto"/>
                    <w:left w:val="none" w:sz="0" w:space="0" w:color="auto"/>
                    <w:bottom w:val="none" w:sz="0" w:space="0" w:color="auto"/>
                    <w:right w:val="none" w:sz="0" w:space="0" w:color="auto"/>
                  </w:divBdr>
                  <w:divsChild>
                    <w:div w:id="962347338">
                      <w:marLeft w:val="0"/>
                      <w:marRight w:val="0"/>
                      <w:marTop w:val="0"/>
                      <w:marBottom w:val="0"/>
                      <w:divBdr>
                        <w:top w:val="none" w:sz="0" w:space="0" w:color="auto"/>
                        <w:left w:val="none" w:sz="0" w:space="0" w:color="auto"/>
                        <w:bottom w:val="none" w:sz="0" w:space="0" w:color="auto"/>
                        <w:right w:val="none" w:sz="0" w:space="0" w:color="auto"/>
                      </w:divBdr>
                      <w:divsChild>
                        <w:div w:id="153109467">
                          <w:marLeft w:val="0"/>
                          <w:marRight w:val="0"/>
                          <w:marTop w:val="0"/>
                          <w:marBottom w:val="0"/>
                          <w:divBdr>
                            <w:top w:val="none" w:sz="0" w:space="0" w:color="auto"/>
                            <w:left w:val="none" w:sz="0" w:space="0" w:color="auto"/>
                            <w:bottom w:val="none" w:sz="0" w:space="0" w:color="auto"/>
                            <w:right w:val="none" w:sz="0" w:space="0" w:color="auto"/>
                          </w:divBdr>
                          <w:divsChild>
                            <w:div w:id="7457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014926">
      <w:bodyDiv w:val="1"/>
      <w:marLeft w:val="0"/>
      <w:marRight w:val="0"/>
      <w:marTop w:val="0"/>
      <w:marBottom w:val="0"/>
      <w:divBdr>
        <w:top w:val="none" w:sz="0" w:space="0" w:color="auto"/>
        <w:left w:val="none" w:sz="0" w:space="0" w:color="auto"/>
        <w:bottom w:val="none" w:sz="0" w:space="0" w:color="auto"/>
        <w:right w:val="none" w:sz="0" w:space="0" w:color="auto"/>
      </w:divBdr>
    </w:div>
    <w:div w:id="1568421569">
      <w:bodyDiv w:val="1"/>
      <w:marLeft w:val="0"/>
      <w:marRight w:val="0"/>
      <w:marTop w:val="0"/>
      <w:marBottom w:val="0"/>
      <w:divBdr>
        <w:top w:val="none" w:sz="0" w:space="0" w:color="auto"/>
        <w:left w:val="none" w:sz="0" w:space="0" w:color="auto"/>
        <w:bottom w:val="none" w:sz="0" w:space="0" w:color="auto"/>
        <w:right w:val="none" w:sz="0" w:space="0" w:color="auto"/>
      </w:divBdr>
    </w:div>
    <w:div w:id="1685476447">
      <w:bodyDiv w:val="1"/>
      <w:marLeft w:val="0"/>
      <w:marRight w:val="0"/>
      <w:marTop w:val="0"/>
      <w:marBottom w:val="0"/>
      <w:divBdr>
        <w:top w:val="none" w:sz="0" w:space="0" w:color="auto"/>
        <w:left w:val="none" w:sz="0" w:space="0" w:color="auto"/>
        <w:bottom w:val="none" w:sz="0" w:space="0" w:color="auto"/>
        <w:right w:val="none" w:sz="0" w:space="0" w:color="auto"/>
      </w:divBdr>
      <w:divsChild>
        <w:div w:id="2123762925">
          <w:marLeft w:val="0"/>
          <w:marRight w:val="0"/>
          <w:marTop w:val="0"/>
          <w:marBottom w:val="0"/>
          <w:divBdr>
            <w:top w:val="none" w:sz="0" w:space="0" w:color="auto"/>
            <w:left w:val="none" w:sz="0" w:space="0" w:color="auto"/>
            <w:bottom w:val="none" w:sz="0" w:space="0" w:color="auto"/>
            <w:right w:val="none" w:sz="0" w:space="0" w:color="auto"/>
          </w:divBdr>
          <w:divsChild>
            <w:div w:id="1268344025">
              <w:marLeft w:val="0"/>
              <w:marRight w:val="0"/>
              <w:marTop w:val="0"/>
              <w:marBottom w:val="0"/>
              <w:divBdr>
                <w:top w:val="none" w:sz="0" w:space="0" w:color="auto"/>
                <w:left w:val="none" w:sz="0" w:space="0" w:color="auto"/>
                <w:bottom w:val="none" w:sz="0" w:space="0" w:color="auto"/>
                <w:right w:val="none" w:sz="0" w:space="0" w:color="auto"/>
              </w:divBdr>
              <w:divsChild>
                <w:div w:id="538202590">
                  <w:marLeft w:val="0"/>
                  <w:marRight w:val="0"/>
                  <w:marTop w:val="0"/>
                  <w:marBottom w:val="0"/>
                  <w:divBdr>
                    <w:top w:val="none" w:sz="0" w:space="0" w:color="auto"/>
                    <w:left w:val="none" w:sz="0" w:space="0" w:color="auto"/>
                    <w:bottom w:val="none" w:sz="0" w:space="0" w:color="auto"/>
                    <w:right w:val="none" w:sz="0" w:space="0" w:color="auto"/>
                  </w:divBdr>
                  <w:divsChild>
                    <w:div w:id="735126027">
                      <w:marLeft w:val="0"/>
                      <w:marRight w:val="0"/>
                      <w:marTop w:val="0"/>
                      <w:marBottom w:val="0"/>
                      <w:divBdr>
                        <w:top w:val="none" w:sz="0" w:space="0" w:color="auto"/>
                        <w:left w:val="none" w:sz="0" w:space="0" w:color="auto"/>
                        <w:bottom w:val="none" w:sz="0" w:space="0" w:color="auto"/>
                        <w:right w:val="none" w:sz="0" w:space="0" w:color="auto"/>
                      </w:divBdr>
                      <w:divsChild>
                        <w:div w:id="1710954802">
                          <w:marLeft w:val="0"/>
                          <w:marRight w:val="0"/>
                          <w:marTop w:val="0"/>
                          <w:marBottom w:val="0"/>
                          <w:divBdr>
                            <w:top w:val="none" w:sz="0" w:space="0" w:color="auto"/>
                            <w:left w:val="none" w:sz="0" w:space="0" w:color="auto"/>
                            <w:bottom w:val="none" w:sz="0" w:space="0" w:color="auto"/>
                            <w:right w:val="none" w:sz="0" w:space="0" w:color="auto"/>
                          </w:divBdr>
                          <w:divsChild>
                            <w:div w:id="1637834047">
                              <w:marLeft w:val="0"/>
                              <w:marRight w:val="0"/>
                              <w:marTop w:val="0"/>
                              <w:marBottom w:val="0"/>
                              <w:divBdr>
                                <w:top w:val="none" w:sz="0" w:space="0" w:color="auto"/>
                                <w:left w:val="none" w:sz="0" w:space="0" w:color="auto"/>
                                <w:bottom w:val="none" w:sz="0" w:space="0" w:color="auto"/>
                                <w:right w:val="none" w:sz="0" w:space="0" w:color="auto"/>
                              </w:divBdr>
                              <w:divsChild>
                                <w:div w:id="338504923">
                                  <w:marLeft w:val="0"/>
                                  <w:marRight w:val="0"/>
                                  <w:marTop w:val="0"/>
                                  <w:marBottom w:val="0"/>
                                  <w:divBdr>
                                    <w:top w:val="none" w:sz="0" w:space="0" w:color="auto"/>
                                    <w:left w:val="none" w:sz="0" w:space="0" w:color="auto"/>
                                    <w:bottom w:val="none" w:sz="0" w:space="0" w:color="auto"/>
                                    <w:right w:val="none" w:sz="0" w:space="0" w:color="auto"/>
                                  </w:divBdr>
                                  <w:divsChild>
                                    <w:div w:id="1632832003">
                                      <w:marLeft w:val="0"/>
                                      <w:marRight w:val="0"/>
                                      <w:marTop w:val="0"/>
                                      <w:marBottom w:val="0"/>
                                      <w:divBdr>
                                        <w:top w:val="none" w:sz="0" w:space="0" w:color="auto"/>
                                        <w:left w:val="none" w:sz="0" w:space="0" w:color="auto"/>
                                        <w:bottom w:val="none" w:sz="0" w:space="0" w:color="auto"/>
                                        <w:right w:val="none" w:sz="0" w:space="0" w:color="auto"/>
                                      </w:divBdr>
                                      <w:divsChild>
                                        <w:div w:id="1560552857">
                                          <w:marLeft w:val="0"/>
                                          <w:marRight w:val="0"/>
                                          <w:marTop w:val="0"/>
                                          <w:marBottom w:val="0"/>
                                          <w:divBdr>
                                            <w:top w:val="none" w:sz="0" w:space="0" w:color="auto"/>
                                            <w:left w:val="none" w:sz="0" w:space="0" w:color="auto"/>
                                            <w:bottom w:val="none" w:sz="0" w:space="0" w:color="auto"/>
                                            <w:right w:val="none" w:sz="0" w:space="0" w:color="auto"/>
                                          </w:divBdr>
                                          <w:divsChild>
                                            <w:div w:id="18371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951632">
          <w:marLeft w:val="0"/>
          <w:marRight w:val="0"/>
          <w:marTop w:val="0"/>
          <w:marBottom w:val="0"/>
          <w:divBdr>
            <w:top w:val="none" w:sz="0" w:space="0" w:color="auto"/>
            <w:left w:val="none" w:sz="0" w:space="0" w:color="auto"/>
            <w:bottom w:val="none" w:sz="0" w:space="0" w:color="auto"/>
            <w:right w:val="none" w:sz="0" w:space="0" w:color="auto"/>
          </w:divBdr>
          <w:divsChild>
            <w:div w:id="1628849016">
              <w:marLeft w:val="0"/>
              <w:marRight w:val="0"/>
              <w:marTop w:val="0"/>
              <w:marBottom w:val="0"/>
              <w:divBdr>
                <w:top w:val="none" w:sz="0" w:space="0" w:color="auto"/>
                <w:left w:val="none" w:sz="0" w:space="0" w:color="auto"/>
                <w:bottom w:val="none" w:sz="0" w:space="0" w:color="auto"/>
                <w:right w:val="none" w:sz="0" w:space="0" w:color="auto"/>
              </w:divBdr>
              <w:divsChild>
                <w:div w:id="1133711000">
                  <w:marLeft w:val="0"/>
                  <w:marRight w:val="0"/>
                  <w:marTop w:val="0"/>
                  <w:marBottom w:val="0"/>
                  <w:divBdr>
                    <w:top w:val="none" w:sz="0" w:space="0" w:color="auto"/>
                    <w:left w:val="none" w:sz="0" w:space="0" w:color="auto"/>
                    <w:bottom w:val="none" w:sz="0" w:space="0" w:color="auto"/>
                    <w:right w:val="none" w:sz="0" w:space="0" w:color="auto"/>
                  </w:divBdr>
                  <w:divsChild>
                    <w:div w:id="1608611623">
                      <w:marLeft w:val="0"/>
                      <w:marRight w:val="0"/>
                      <w:marTop w:val="0"/>
                      <w:marBottom w:val="0"/>
                      <w:divBdr>
                        <w:top w:val="none" w:sz="0" w:space="0" w:color="auto"/>
                        <w:left w:val="none" w:sz="0" w:space="0" w:color="auto"/>
                        <w:bottom w:val="none" w:sz="0" w:space="0" w:color="auto"/>
                        <w:right w:val="none" w:sz="0" w:space="0" w:color="auto"/>
                      </w:divBdr>
                      <w:divsChild>
                        <w:div w:id="2093357881">
                          <w:marLeft w:val="0"/>
                          <w:marRight w:val="0"/>
                          <w:marTop w:val="0"/>
                          <w:marBottom w:val="0"/>
                          <w:divBdr>
                            <w:top w:val="none" w:sz="0" w:space="0" w:color="auto"/>
                            <w:left w:val="none" w:sz="0" w:space="0" w:color="auto"/>
                            <w:bottom w:val="none" w:sz="0" w:space="0" w:color="auto"/>
                            <w:right w:val="none" w:sz="0" w:space="0" w:color="auto"/>
                          </w:divBdr>
                          <w:divsChild>
                            <w:div w:id="15279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981879">
          <w:marLeft w:val="0"/>
          <w:marRight w:val="0"/>
          <w:marTop w:val="0"/>
          <w:marBottom w:val="0"/>
          <w:divBdr>
            <w:top w:val="none" w:sz="0" w:space="0" w:color="auto"/>
            <w:left w:val="none" w:sz="0" w:space="0" w:color="auto"/>
            <w:bottom w:val="none" w:sz="0" w:space="0" w:color="auto"/>
            <w:right w:val="none" w:sz="0" w:space="0" w:color="auto"/>
          </w:divBdr>
          <w:divsChild>
            <w:div w:id="949625977">
              <w:marLeft w:val="0"/>
              <w:marRight w:val="0"/>
              <w:marTop w:val="0"/>
              <w:marBottom w:val="0"/>
              <w:divBdr>
                <w:top w:val="none" w:sz="0" w:space="0" w:color="auto"/>
                <w:left w:val="none" w:sz="0" w:space="0" w:color="auto"/>
                <w:bottom w:val="none" w:sz="0" w:space="0" w:color="auto"/>
                <w:right w:val="none" w:sz="0" w:space="0" w:color="auto"/>
              </w:divBdr>
              <w:divsChild>
                <w:div w:id="1973363379">
                  <w:marLeft w:val="0"/>
                  <w:marRight w:val="0"/>
                  <w:marTop w:val="0"/>
                  <w:marBottom w:val="0"/>
                  <w:divBdr>
                    <w:top w:val="none" w:sz="0" w:space="0" w:color="auto"/>
                    <w:left w:val="none" w:sz="0" w:space="0" w:color="auto"/>
                    <w:bottom w:val="none" w:sz="0" w:space="0" w:color="auto"/>
                    <w:right w:val="none" w:sz="0" w:space="0" w:color="auto"/>
                  </w:divBdr>
                  <w:divsChild>
                    <w:div w:id="927663754">
                      <w:marLeft w:val="0"/>
                      <w:marRight w:val="0"/>
                      <w:marTop w:val="0"/>
                      <w:marBottom w:val="0"/>
                      <w:divBdr>
                        <w:top w:val="none" w:sz="0" w:space="0" w:color="auto"/>
                        <w:left w:val="none" w:sz="0" w:space="0" w:color="auto"/>
                        <w:bottom w:val="none" w:sz="0" w:space="0" w:color="auto"/>
                        <w:right w:val="none" w:sz="0" w:space="0" w:color="auto"/>
                      </w:divBdr>
                      <w:divsChild>
                        <w:div w:id="2288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66167">
          <w:marLeft w:val="0"/>
          <w:marRight w:val="0"/>
          <w:marTop w:val="0"/>
          <w:marBottom w:val="0"/>
          <w:divBdr>
            <w:top w:val="none" w:sz="0" w:space="0" w:color="auto"/>
            <w:left w:val="none" w:sz="0" w:space="0" w:color="auto"/>
            <w:bottom w:val="none" w:sz="0" w:space="0" w:color="auto"/>
            <w:right w:val="none" w:sz="0" w:space="0" w:color="auto"/>
          </w:divBdr>
          <w:divsChild>
            <w:div w:id="1055852800">
              <w:marLeft w:val="0"/>
              <w:marRight w:val="0"/>
              <w:marTop w:val="0"/>
              <w:marBottom w:val="0"/>
              <w:divBdr>
                <w:top w:val="none" w:sz="0" w:space="0" w:color="auto"/>
                <w:left w:val="none" w:sz="0" w:space="0" w:color="auto"/>
                <w:bottom w:val="none" w:sz="0" w:space="0" w:color="auto"/>
                <w:right w:val="none" w:sz="0" w:space="0" w:color="auto"/>
              </w:divBdr>
              <w:divsChild>
                <w:div w:id="1919509973">
                  <w:marLeft w:val="0"/>
                  <w:marRight w:val="0"/>
                  <w:marTop w:val="0"/>
                  <w:marBottom w:val="0"/>
                  <w:divBdr>
                    <w:top w:val="none" w:sz="0" w:space="0" w:color="auto"/>
                    <w:left w:val="none" w:sz="0" w:space="0" w:color="auto"/>
                    <w:bottom w:val="none" w:sz="0" w:space="0" w:color="auto"/>
                    <w:right w:val="none" w:sz="0" w:space="0" w:color="auto"/>
                  </w:divBdr>
                  <w:divsChild>
                    <w:div w:id="613487800">
                      <w:marLeft w:val="0"/>
                      <w:marRight w:val="0"/>
                      <w:marTop w:val="0"/>
                      <w:marBottom w:val="0"/>
                      <w:divBdr>
                        <w:top w:val="none" w:sz="0" w:space="0" w:color="auto"/>
                        <w:left w:val="none" w:sz="0" w:space="0" w:color="auto"/>
                        <w:bottom w:val="none" w:sz="0" w:space="0" w:color="auto"/>
                        <w:right w:val="none" w:sz="0" w:space="0" w:color="auto"/>
                      </w:divBdr>
                      <w:divsChild>
                        <w:div w:id="932905131">
                          <w:marLeft w:val="0"/>
                          <w:marRight w:val="0"/>
                          <w:marTop w:val="0"/>
                          <w:marBottom w:val="0"/>
                          <w:divBdr>
                            <w:top w:val="none" w:sz="0" w:space="0" w:color="auto"/>
                            <w:left w:val="none" w:sz="0" w:space="0" w:color="auto"/>
                            <w:bottom w:val="none" w:sz="0" w:space="0" w:color="auto"/>
                            <w:right w:val="none" w:sz="0" w:space="0" w:color="auto"/>
                          </w:divBdr>
                          <w:divsChild>
                            <w:div w:id="860627038">
                              <w:marLeft w:val="0"/>
                              <w:marRight w:val="0"/>
                              <w:marTop w:val="0"/>
                              <w:marBottom w:val="0"/>
                              <w:divBdr>
                                <w:top w:val="none" w:sz="0" w:space="0" w:color="auto"/>
                                <w:left w:val="none" w:sz="0" w:space="0" w:color="auto"/>
                                <w:bottom w:val="none" w:sz="0" w:space="0" w:color="auto"/>
                                <w:right w:val="none" w:sz="0" w:space="0" w:color="auto"/>
                              </w:divBdr>
                              <w:divsChild>
                                <w:div w:id="1907036092">
                                  <w:marLeft w:val="0"/>
                                  <w:marRight w:val="0"/>
                                  <w:marTop w:val="0"/>
                                  <w:marBottom w:val="0"/>
                                  <w:divBdr>
                                    <w:top w:val="none" w:sz="0" w:space="0" w:color="auto"/>
                                    <w:left w:val="none" w:sz="0" w:space="0" w:color="auto"/>
                                    <w:bottom w:val="none" w:sz="0" w:space="0" w:color="auto"/>
                                    <w:right w:val="none" w:sz="0" w:space="0" w:color="auto"/>
                                  </w:divBdr>
                                  <w:divsChild>
                                    <w:div w:id="790973572">
                                      <w:marLeft w:val="0"/>
                                      <w:marRight w:val="0"/>
                                      <w:marTop w:val="0"/>
                                      <w:marBottom w:val="0"/>
                                      <w:divBdr>
                                        <w:top w:val="none" w:sz="0" w:space="0" w:color="auto"/>
                                        <w:left w:val="none" w:sz="0" w:space="0" w:color="auto"/>
                                        <w:bottom w:val="none" w:sz="0" w:space="0" w:color="auto"/>
                                        <w:right w:val="none" w:sz="0" w:space="0" w:color="auto"/>
                                      </w:divBdr>
                                      <w:divsChild>
                                        <w:div w:id="592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536450">
      <w:bodyDiv w:val="1"/>
      <w:marLeft w:val="0"/>
      <w:marRight w:val="0"/>
      <w:marTop w:val="0"/>
      <w:marBottom w:val="0"/>
      <w:divBdr>
        <w:top w:val="none" w:sz="0" w:space="0" w:color="auto"/>
        <w:left w:val="none" w:sz="0" w:space="0" w:color="auto"/>
        <w:bottom w:val="none" w:sz="0" w:space="0" w:color="auto"/>
        <w:right w:val="none" w:sz="0" w:space="0" w:color="auto"/>
      </w:divBdr>
    </w:div>
    <w:div w:id="1959793444">
      <w:bodyDiv w:val="1"/>
      <w:marLeft w:val="0"/>
      <w:marRight w:val="0"/>
      <w:marTop w:val="0"/>
      <w:marBottom w:val="0"/>
      <w:divBdr>
        <w:top w:val="none" w:sz="0" w:space="0" w:color="auto"/>
        <w:left w:val="none" w:sz="0" w:space="0" w:color="auto"/>
        <w:bottom w:val="none" w:sz="0" w:space="0" w:color="auto"/>
        <w:right w:val="none" w:sz="0" w:space="0" w:color="auto"/>
      </w:divBdr>
    </w:div>
    <w:div w:id="20679532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06">
          <w:marLeft w:val="0"/>
          <w:marRight w:val="0"/>
          <w:marTop w:val="0"/>
          <w:marBottom w:val="0"/>
          <w:divBdr>
            <w:top w:val="none" w:sz="0" w:space="0" w:color="auto"/>
            <w:left w:val="none" w:sz="0" w:space="0" w:color="auto"/>
            <w:bottom w:val="none" w:sz="0" w:space="0" w:color="auto"/>
            <w:right w:val="none" w:sz="0" w:space="0" w:color="auto"/>
          </w:divBdr>
        </w:div>
        <w:div w:id="538711847">
          <w:marLeft w:val="0"/>
          <w:marRight w:val="0"/>
          <w:marTop w:val="0"/>
          <w:marBottom w:val="0"/>
          <w:divBdr>
            <w:top w:val="none" w:sz="0" w:space="0" w:color="auto"/>
            <w:left w:val="none" w:sz="0" w:space="0" w:color="auto"/>
            <w:bottom w:val="none" w:sz="0" w:space="0" w:color="auto"/>
            <w:right w:val="none" w:sz="0" w:space="0" w:color="auto"/>
          </w:divBdr>
        </w:div>
        <w:div w:id="1238831303">
          <w:marLeft w:val="0"/>
          <w:marRight w:val="0"/>
          <w:marTop w:val="0"/>
          <w:marBottom w:val="0"/>
          <w:divBdr>
            <w:top w:val="none" w:sz="0" w:space="0" w:color="auto"/>
            <w:left w:val="none" w:sz="0" w:space="0" w:color="auto"/>
            <w:bottom w:val="none" w:sz="0" w:space="0" w:color="auto"/>
            <w:right w:val="none" w:sz="0" w:space="0" w:color="auto"/>
          </w:divBdr>
        </w:div>
        <w:div w:id="1049256609">
          <w:marLeft w:val="0"/>
          <w:marRight w:val="0"/>
          <w:marTop w:val="0"/>
          <w:marBottom w:val="0"/>
          <w:divBdr>
            <w:top w:val="none" w:sz="0" w:space="0" w:color="auto"/>
            <w:left w:val="none" w:sz="0" w:space="0" w:color="auto"/>
            <w:bottom w:val="none" w:sz="0" w:space="0" w:color="auto"/>
            <w:right w:val="none" w:sz="0" w:space="0" w:color="auto"/>
          </w:divBdr>
        </w:div>
        <w:div w:id="1730103976">
          <w:marLeft w:val="0"/>
          <w:marRight w:val="0"/>
          <w:marTop w:val="0"/>
          <w:marBottom w:val="0"/>
          <w:divBdr>
            <w:top w:val="none" w:sz="0" w:space="0" w:color="auto"/>
            <w:left w:val="none" w:sz="0" w:space="0" w:color="auto"/>
            <w:bottom w:val="none" w:sz="0" w:space="0" w:color="auto"/>
            <w:right w:val="none" w:sz="0" w:space="0" w:color="auto"/>
          </w:divBdr>
        </w:div>
        <w:div w:id="785003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6.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user\Desktop\dgh.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29902279958558"/>
          <c:y val="3.663699068215371E-2"/>
          <c:w val="0.81203839246320186"/>
          <c:h val="0.75784860425920186"/>
        </c:manualLayout>
      </c:layout>
      <c:scatterChart>
        <c:scatterStyle val="smoothMarker"/>
        <c:varyColors val="0"/>
        <c:ser>
          <c:idx val="0"/>
          <c:order val="0"/>
          <c:tx>
            <c:strRef>
              <c:f>Sheet3!$B$1</c:f>
              <c:strCache>
                <c:ptCount val="1"/>
                <c:pt idx="0">
                  <c:v>pHfinal</c:v>
                </c:pt>
              </c:strCache>
            </c:strRef>
          </c:tx>
          <c:xVal>
            <c:numRef>
              <c:f>Sheet3!$A$2:$A$11</c:f>
              <c:numCache>
                <c:formatCode>General</c:formatCode>
                <c:ptCount val="10"/>
                <c:pt idx="0">
                  <c:v>2</c:v>
                </c:pt>
                <c:pt idx="1">
                  <c:v>3</c:v>
                </c:pt>
                <c:pt idx="2">
                  <c:v>4</c:v>
                </c:pt>
                <c:pt idx="3">
                  <c:v>5</c:v>
                </c:pt>
                <c:pt idx="4">
                  <c:v>6</c:v>
                </c:pt>
                <c:pt idx="5">
                  <c:v>7</c:v>
                </c:pt>
                <c:pt idx="6">
                  <c:v>8</c:v>
                </c:pt>
                <c:pt idx="7">
                  <c:v>9</c:v>
                </c:pt>
                <c:pt idx="8">
                  <c:v>10</c:v>
                </c:pt>
                <c:pt idx="9">
                  <c:v>11</c:v>
                </c:pt>
              </c:numCache>
            </c:numRef>
          </c:xVal>
          <c:yVal>
            <c:numRef>
              <c:f>Sheet3!$B$2:$B$11</c:f>
              <c:numCache>
                <c:formatCode>General</c:formatCode>
                <c:ptCount val="10"/>
                <c:pt idx="0">
                  <c:v>5.6</c:v>
                </c:pt>
                <c:pt idx="1">
                  <c:v>5.6</c:v>
                </c:pt>
                <c:pt idx="2">
                  <c:v>6</c:v>
                </c:pt>
                <c:pt idx="3">
                  <c:v>6</c:v>
                </c:pt>
                <c:pt idx="4">
                  <c:v>6</c:v>
                </c:pt>
                <c:pt idx="5">
                  <c:v>6</c:v>
                </c:pt>
                <c:pt idx="6">
                  <c:v>6.9</c:v>
                </c:pt>
                <c:pt idx="7">
                  <c:v>8</c:v>
                </c:pt>
                <c:pt idx="8">
                  <c:v>8.6</c:v>
                </c:pt>
                <c:pt idx="9">
                  <c:v>9.4</c:v>
                </c:pt>
              </c:numCache>
            </c:numRef>
          </c:yVal>
          <c:smooth val="1"/>
          <c:extLst xmlns:c16r2="http://schemas.microsoft.com/office/drawing/2015/06/chart">
            <c:ext xmlns:c16="http://schemas.microsoft.com/office/drawing/2014/chart" uri="{C3380CC4-5D6E-409C-BE32-E72D297353CC}">
              <c16:uniqueId val="{00000000-1544-446B-8AC0-9D7500167E86}"/>
            </c:ext>
          </c:extLst>
        </c:ser>
        <c:ser>
          <c:idx val="1"/>
          <c:order val="1"/>
          <c:tx>
            <c:strRef>
              <c:f>Sheet3!$A$1</c:f>
              <c:strCache>
                <c:ptCount val="1"/>
                <c:pt idx="0">
                  <c:v>pHintial</c:v>
                </c:pt>
              </c:strCache>
            </c:strRef>
          </c:tx>
          <c:xVal>
            <c:numRef>
              <c:f>Sheet3!$A$2:$A$11</c:f>
              <c:numCache>
                <c:formatCode>General</c:formatCode>
                <c:ptCount val="10"/>
                <c:pt idx="0">
                  <c:v>2</c:v>
                </c:pt>
                <c:pt idx="1">
                  <c:v>3</c:v>
                </c:pt>
                <c:pt idx="2">
                  <c:v>4</c:v>
                </c:pt>
                <c:pt idx="3">
                  <c:v>5</c:v>
                </c:pt>
                <c:pt idx="4">
                  <c:v>6</c:v>
                </c:pt>
                <c:pt idx="5">
                  <c:v>7</c:v>
                </c:pt>
                <c:pt idx="6">
                  <c:v>8</c:v>
                </c:pt>
                <c:pt idx="7">
                  <c:v>9</c:v>
                </c:pt>
                <c:pt idx="8">
                  <c:v>10</c:v>
                </c:pt>
                <c:pt idx="9">
                  <c:v>11</c:v>
                </c:pt>
              </c:numCache>
            </c:numRef>
          </c:xVal>
          <c:yVal>
            <c:numRef>
              <c:f>Sheet3!$A$2:$A$12</c:f>
              <c:numCache>
                <c:formatCode>General</c:formatCode>
                <c:ptCount val="11"/>
                <c:pt idx="0">
                  <c:v>2</c:v>
                </c:pt>
                <c:pt idx="1">
                  <c:v>3</c:v>
                </c:pt>
                <c:pt idx="2">
                  <c:v>4</c:v>
                </c:pt>
                <c:pt idx="3">
                  <c:v>5</c:v>
                </c:pt>
                <c:pt idx="4">
                  <c:v>6</c:v>
                </c:pt>
                <c:pt idx="5">
                  <c:v>7</c:v>
                </c:pt>
                <c:pt idx="6">
                  <c:v>8</c:v>
                </c:pt>
                <c:pt idx="7">
                  <c:v>9</c:v>
                </c:pt>
                <c:pt idx="8">
                  <c:v>10</c:v>
                </c:pt>
                <c:pt idx="9">
                  <c:v>11</c:v>
                </c:pt>
              </c:numCache>
            </c:numRef>
          </c:yVal>
          <c:smooth val="1"/>
          <c:extLst xmlns:c16r2="http://schemas.microsoft.com/office/drawing/2015/06/chart">
            <c:ext xmlns:c16="http://schemas.microsoft.com/office/drawing/2014/chart" uri="{C3380CC4-5D6E-409C-BE32-E72D297353CC}">
              <c16:uniqueId val="{00000001-1544-446B-8AC0-9D7500167E86}"/>
            </c:ext>
          </c:extLst>
        </c:ser>
        <c:dLbls>
          <c:showLegendKey val="0"/>
          <c:showVal val="0"/>
          <c:showCatName val="0"/>
          <c:showSerName val="0"/>
          <c:showPercent val="0"/>
          <c:showBubbleSize val="0"/>
        </c:dLbls>
        <c:axId val="233091008"/>
        <c:axId val="233092160"/>
      </c:scatterChart>
      <c:valAx>
        <c:axId val="233091008"/>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en-US"/>
                  <a:t>pH intial</a:t>
                </a:r>
              </a:p>
            </c:rich>
          </c:tx>
          <c:layout>
            <c:manualLayout>
              <c:xMode val="edge"/>
              <c:yMode val="edge"/>
              <c:x val="0.4269935937004985"/>
              <c:y val="0.90289549141091674"/>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33092160"/>
        <c:crosses val="autoZero"/>
        <c:crossBetween val="midCat"/>
      </c:valAx>
      <c:valAx>
        <c:axId val="233092160"/>
        <c:scaling>
          <c:orientation val="minMax"/>
          <c:max val="12"/>
        </c:scaling>
        <c:delete val="0"/>
        <c:axPos val="l"/>
        <c:title>
          <c:tx>
            <c:rich>
              <a:bodyPr/>
              <a:lstStyle/>
              <a:p>
                <a:pPr>
                  <a:defRPr sz="1000" b="1" i="0" u="none" strike="noStrike" baseline="0">
                    <a:solidFill>
                      <a:srgbClr val="000000"/>
                    </a:solidFill>
                    <a:latin typeface="Calibri"/>
                    <a:ea typeface="Calibri"/>
                    <a:cs typeface="Calibri"/>
                  </a:defRPr>
                </a:pPr>
                <a:r>
                  <a:rPr lang="en-US"/>
                  <a:t>pH final </a:t>
                </a:r>
              </a:p>
            </c:rich>
          </c:tx>
          <c:layout>
            <c:manualLayout>
              <c:xMode val="edge"/>
              <c:yMode val="edge"/>
              <c:x val="6.6946435998416478E-3"/>
              <c:y val="0.30659067646565197"/>
            </c:manualLayout>
          </c:layout>
          <c:overlay val="0"/>
        </c:title>
        <c:numFmt formatCode="General" sourceLinked="1"/>
        <c:majorTickMark val="out"/>
        <c:minorTickMark val="none"/>
        <c:tickLblPos val="nextTo"/>
        <c:crossAx val="233091008"/>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88575636780962"/>
          <c:y val="3.198769723001945E-2"/>
          <c:w val="0.85107966179875438"/>
          <c:h val="0.78717302590884364"/>
        </c:manualLayout>
      </c:layout>
      <c:scatterChart>
        <c:scatterStyle val="smoothMarker"/>
        <c:varyColors val="0"/>
        <c:ser>
          <c:idx val="0"/>
          <c:order val="0"/>
          <c:tx>
            <c:strRef>
              <c:f>Sheet3!$B$1</c:f>
              <c:strCache>
                <c:ptCount val="1"/>
                <c:pt idx="0">
                  <c:v>%adsorption </c:v>
                </c:pt>
              </c:strCache>
            </c:strRef>
          </c:tx>
          <c:xVal>
            <c:numRef>
              <c:f>Sheet3!$A$2:$A$10</c:f>
              <c:numCache>
                <c:formatCode>General</c:formatCode>
                <c:ptCount val="9"/>
                <c:pt idx="0">
                  <c:v>2</c:v>
                </c:pt>
                <c:pt idx="1">
                  <c:v>3</c:v>
                </c:pt>
                <c:pt idx="2">
                  <c:v>4</c:v>
                </c:pt>
                <c:pt idx="3">
                  <c:v>5</c:v>
                </c:pt>
                <c:pt idx="4">
                  <c:v>6</c:v>
                </c:pt>
                <c:pt idx="5">
                  <c:v>7</c:v>
                </c:pt>
                <c:pt idx="6">
                  <c:v>8</c:v>
                </c:pt>
                <c:pt idx="7">
                  <c:v>9</c:v>
                </c:pt>
                <c:pt idx="8">
                  <c:v>10</c:v>
                </c:pt>
              </c:numCache>
            </c:numRef>
          </c:xVal>
          <c:yVal>
            <c:numRef>
              <c:f>Sheet3!$B$2:$B$10</c:f>
              <c:numCache>
                <c:formatCode>General</c:formatCode>
                <c:ptCount val="9"/>
                <c:pt idx="0">
                  <c:v>20.55</c:v>
                </c:pt>
                <c:pt idx="1">
                  <c:v>54.5</c:v>
                </c:pt>
                <c:pt idx="2">
                  <c:v>74.349999999999994</c:v>
                </c:pt>
                <c:pt idx="3">
                  <c:v>88.55</c:v>
                </c:pt>
                <c:pt idx="4">
                  <c:v>98.15</c:v>
                </c:pt>
                <c:pt idx="5">
                  <c:v>98.15</c:v>
                </c:pt>
                <c:pt idx="6">
                  <c:v>98.15</c:v>
                </c:pt>
                <c:pt idx="7">
                  <c:v>98.15</c:v>
                </c:pt>
                <c:pt idx="8">
                  <c:v>98.15</c:v>
                </c:pt>
              </c:numCache>
            </c:numRef>
          </c:yVal>
          <c:smooth val="1"/>
          <c:extLst xmlns:c16r2="http://schemas.microsoft.com/office/drawing/2015/06/chart">
            <c:ext xmlns:c16="http://schemas.microsoft.com/office/drawing/2014/chart" uri="{C3380CC4-5D6E-409C-BE32-E72D297353CC}">
              <c16:uniqueId val="{00000000-A198-4953-9FBB-DAB827A6205A}"/>
            </c:ext>
          </c:extLst>
        </c:ser>
        <c:dLbls>
          <c:showLegendKey val="0"/>
          <c:showVal val="0"/>
          <c:showCatName val="0"/>
          <c:showSerName val="0"/>
          <c:showPercent val="0"/>
          <c:showBubbleSize val="0"/>
        </c:dLbls>
        <c:axId val="233295232"/>
        <c:axId val="256044992"/>
      </c:scatterChart>
      <c:valAx>
        <c:axId val="233295232"/>
        <c:scaling>
          <c:orientation val="minMax"/>
        </c:scaling>
        <c:delete val="0"/>
        <c:axPos val="b"/>
        <c:title>
          <c:tx>
            <c:rich>
              <a:bodyPr/>
              <a:lstStyle/>
              <a:p>
                <a:pPr>
                  <a:defRPr sz="996" b="1" i="0" u="none" strike="noStrike" baseline="0">
                    <a:solidFill>
                      <a:srgbClr val="000000"/>
                    </a:solidFill>
                    <a:latin typeface="Calibri"/>
                    <a:ea typeface="Calibri"/>
                    <a:cs typeface="Calibri"/>
                  </a:defRPr>
                </a:pPr>
                <a:r>
                  <a:rPr lang="en-US"/>
                  <a:t>Intial solution pH </a:t>
                </a:r>
              </a:p>
            </c:rich>
          </c:tx>
          <c:overlay val="0"/>
        </c:title>
        <c:numFmt formatCode="General" sourceLinked="1"/>
        <c:majorTickMark val="out"/>
        <c:minorTickMark val="none"/>
        <c:tickLblPos val="nextTo"/>
        <c:txPr>
          <a:bodyPr rot="0" vert="horz"/>
          <a:lstStyle/>
          <a:p>
            <a:pPr>
              <a:defRPr sz="996" b="0" i="0" u="none" strike="noStrike" baseline="0">
                <a:solidFill>
                  <a:srgbClr val="000000"/>
                </a:solidFill>
                <a:latin typeface="Calibri"/>
                <a:ea typeface="Calibri"/>
                <a:cs typeface="Calibri"/>
              </a:defRPr>
            </a:pPr>
            <a:endParaRPr lang="en-US"/>
          </a:p>
        </c:txPr>
        <c:crossAx val="256044992"/>
        <c:crosses val="autoZero"/>
        <c:crossBetween val="midCat"/>
      </c:valAx>
      <c:valAx>
        <c:axId val="256044992"/>
        <c:scaling>
          <c:orientation val="minMax"/>
          <c:max val="100"/>
        </c:scaling>
        <c:delete val="0"/>
        <c:axPos val="l"/>
        <c:title>
          <c:tx>
            <c:rich>
              <a:bodyPr/>
              <a:lstStyle/>
              <a:p>
                <a:pPr>
                  <a:defRPr sz="996" b="1" i="0" u="none" strike="noStrike" baseline="0">
                    <a:solidFill>
                      <a:srgbClr val="000000"/>
                    </a:solidFill>
                    <a:latin typeface="Calibri"/>
                    <a:ea typeface="Calibri"/>
                    <a:cs typeface="Calibri"/>
                  </a:defRPr>
                </a:pPr>
                <a:r>
                  <a:rPr lang="en-US"/>
                  <a:t>% Removal </a:t>
                </a:r>
              </a:p>
            </c:rich>
          </c:tx>
          <c:overlay val="0"/>
        </c:title>
        <c:numFmt formatCode="General" sourceLinked="1"/>
        <c:majorTickMark val="out"/>
        <c:minorTickMark val="none"/>
        <c:tickLblPos val="nextTo"/>
        <c:crossAx val="233295232"/>
        <c:crosses val="autoZero"/>
        <c:crossBetween val="midCat"/>
      </c:valAx>
      <c:spPr>
        <a:noFill/>
        <a:ln w="25300">
          <a:noFill/>
        </a:ln>
      </c:spPr>
    </c:plotArea>
    <c:plotVisOnly val="1"/>
    <c:dispBlanksAs val="gap"/>
    <c:showDLblsOverMax val="0"/>
  </c:chart>
  <c:spPr>
    <a:no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57687626003273"/>
          <c:y val="2.8252405949256341E-2"/>
          <c:w val="0.84159914793259538"/>
          <c:h val="0.77726993004679856"/>
        </c:manualLayout>
      </c:layout>
      <c:scatterChart>
        <c:scatterStyle val="smoothMarker"/>
        <c:varyColors val="0"/>
        <c:ser>
          <c:idx val="0"/>
          <c:order val="0"/>
          <c:tx>
            <c:strRef>
              <c:f>Sheet1!$B$1</c:f>
              <c:strCache>
                <c:ptCount val="1"/>
                <c:pt idx="0">
                  <c:v>%adsorption </c:v>
                </c:pt>
              </c:strCache>
            </c:strRef>
          </c:tx>
          <c:xVal>
            <c:numRef>
              <c:f>Sheet1!$A$2:$A$6</c:f>
              <c:numCache>
                <c:formatCode>General</c:formatCode>
                <c:ptCount val="5"/>
                <c:pt idx="0">
                  <c:v>20</c:v>
                </c:pt>
                <c:pt idx="1">
                  <c:v>30</c:v>
                </c:pt>
                <c:pt idx="2">
                  <c:v>40</c:v>
                </c:pt>
                <c:pt idx="3">
                  <c:v>60</c:v>
                </c:pt>
                <c:pt idx="4">
                  <c:v>80</c:v>
                </c:pt>
              </c:numCache>
            </c:numRef>
          </c:xVal>
          <c:yVal>
            <c:numRef>
              <c:f>Sheet1!$B$2:$B$6</c:f>
              <c:numCache>
                <c:formatCode>General</c:formatCode>
                <c:ptCount val="5"/>
                <c:pt idx="0">
                  <c:v>45</c:v>
                </c:pt>
                <c:pt idx="1">
                  <c:v>69</c:v>
                </c:pt>
                <c:pt idx="2">
                  <c:v>98.15</c:v>
                </c:pt>
                <c:pt idx="3">
                  <c:v>98.15</c:v>
                </c:pt>
                <c:pt idx="4">
                  <c:v>98.15</c:v>
                </c:pt>
              </c:numCache>
            </c:numRef>
          </c:yVal>
          <c:smooth val="1"/>
          <c:extLst xmlns:c16r2="http://schemas.microsoft.com/office/drawing/2015/06/chart">
            <c:ext xmlns:c16="http://schemas.microsoft.com/office/drawing/2014/chart" uri="{C3380CC4-5D6E-409C-BE32-E72D297353CC}">
              <c16:uniqueId val="{00000000-DC62-4F07-B36E-FA2A26980C32}"/>
            </c:ext>
          </c:extLst>
        </c:ser>
        <c:dLbls>
          <c:showLegendKey val="0"/>
          <c:showVal val="0"/>
          <c:showCatName val="0"/>
          <c:showSerName val="0"/>
          <c:showPercent val="0"/>
          <c:showBubbleSize val="0"/>
        </c:dLbls>
        <c:axId val="256047296"/>
        <c:axId val="256047872"/>
      </c:scatterChart>
      <c:valAx>
        <c:axId val="256047296"/>
        <c:scaling>
          <c:orientation val="minMax"/>
          <c:min val="10"/>
        </c:scaling>
        <c:delete val="0"/>
        <c:axPos val="b"/>
        <c:title>
          <c:tx>
            <c:rich>
              <a:bodyPr/>
              <a:lstStyle/>
              <a:p>
                <a:pPr>
                  <a:defRPr/>
                </a:pPr>
                <a:r>
                  <a:rPr lang="en-US"/>
                  <a:t>adsorbent</a:t>
                </a:r>
                <a:r>
                  <a:rPr lang="en-US" baseline="0"/>
                  <a:t> dose (g/L) </a:t>
                </a:r>
                <a:endParaRPr lang="en-US"/>
              </a:p>
            </c:rich>
          </c:tx>
          <c:overlay val="0"/>
        </c:title>
        <c:numFmt formatCode="General" sourceLinked="1"/>
        <c:majorTickMark val="out"/>
        <c:minorTickMark val="none"/>
        <c:tickLblPos val="nextTo"/>
        <c:crossAx val="256047872"/>
        <c:crosses val="autoZero"/>
        <c:crossBetween val="midCat"/>
      </c:valAx>
      <c:valAx>
        <c:axId val="256047872"/>
        <c:scaling>
          <c:orientation val="minMax"/>
          <c:max val="100"/>
        </c:scaling>
        <c:delete val="0"/>
        <c:axPos val="l"/>
        <c:title>
          <c:tx>
            <c:rich>
              <a:bodyPr rot="-5400000" vert="horz"/>
              <a:lstStyle/>
              <a:p>
                <a:pPr>
                  <a:defRPr/>
                </a:pPr>
                <a:r>
                  <a:rPr lang="en-US"/>
                  <a:t>%removal</a:t>
                </a:r>
                <a:r>
                  <a:rPr lang="en-US" baseline="0"/>
                  <a:t> </a:t>
                </a:r>
                <a:r>
                  <a:rPr lang="en-US"/>
                  <a:t> </a:t>
                </a:r>
              </a:p>
            </c:rich>
          </c:tx>
          <c:overlay val="0"/>
        </c:title>
        <c:numFmt formatCode="General" sourceLinked="1"/>
        <c:majorTickMark val="out"/>
        <c:minorTickMark val="none"/>
        <c:tickLblPos val="nextTo"/>
        <c:crossAx val="256047296"/>
        <c:crosses val="autoZero"/>
        <c:crossBetween val="midCat"/>
      </c:valAx>
      <c:spPr>
        <a:noFill/>
        <a:ln w="25400">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3710274451869"/>
          <c:y val="4.3652994868178786E-2"/>
          <c:w val="0.83659348369724917"/>
          <c:h val="0.78047479139734399"/>
        </c:manualLayout>
      </c:layout>
      <c:scatterChart>
        <c:scatterStyle val="smoothMarker"/>
        <c:varyColors val="0"/>
        <c:ser>
          <c:idx val="0"/>
          <c:order val="0"/>
          <c:tx>
            <c:strRef>
              <c:f>Sheet8!$B$1</c:f>
              <c:strCache>
                <c:ptCount val="1"/>
                <c:pt idx="0">
                  <c:v>particl size %adsorption </c:v>
                </c:pt>
              </c:strCache>
            </c:strRef>
          </c:tx>
          <c:marker>
            <c:symbol val="square"/>
            <c:size val="5"/>
          </c:marker>
          <c:xVal>
            <c:numRef>
              <c:f>Sheet8!$A$2:$A$4</c:f>
              <c:numCache>
                <c:formatCode>General</c:formatCode>
                <c:ptCount val="3"/>
                <c:pt idx="0">
                  <c:v>25</c:v>
                </c:pt>
                <c:pt idx="1">
                  <c:v>45</c:v>
                </c:pt>
                <c:pt idx="2">
                  <c:v>75</c:v>
                </c:pt>
              </c:numCache>
            </c:numRef>
          </c:xVal>
          <c:yVal>
            <c:numRef>
              <c:f>Sheet8!$B$2:$B$4</c:f>
              <c:numCache>
                <c:formatCode>General</c:formatCode>
                <c:ptCount val="3"/>
                <c:pt idx="0">
                  <c:v>98.15</c:v>
                </c:pt>
                <c:pt idx="1">
                  <c:v>46</c:v>
                </c:pt>
                <c:pt idx="2">
                  <c:v>26</c:v>
                </c:pt>
              </c:numCache>
            </c:numRef>
          </c:yVal>
          <c:smooth val="1"/>
          <c:extLst xmlns:c16r2="http://schemas.microsoft.com/office/drawing/2015/06/chart">
            <c:ext xmlns:c16="http://schemas.microsoft.com/office/drawing/2014/chart" uri="{C3380CC4-5D6E-409C-BE32-E72D297353CC}">
              <c16:uniqueId val="{00000000-6A50-4015-87B1-0F293A64F84B}"/>
            </c:ext>
          </c:extLst>
        </c:ser>
        <c:dLbls>
          <c:showLegendKey val="0"/>
          <c:showVal val="0"/>
          <c:showCatName val="0"/>
          <c:showSerName val="0"/>
          <c:showPercent val="0"/>
          <c:showBubbleSize val="0"/>
        </c:dLbls>
        <c:axId val="45916736"/>
        <c:axId val="45917312"/>
      </c:scatterChart>
      <c:valAx>
        <c:axId val="45916736"/>
        <c:scaling>
          <c:orientation val="minMax"/>
          <c:min val="10"/>
        </c:scaling>
        <c:delete val="0"/>
        <c:axPos val="b"/>
        <c:title>
          <c:tx>
            <c:rich>
              <a:bodyPr/>
              <a:lstStyle/>
              <a:p>
                <a:pPr>
                  <a:defRPr sz="1000" b="1" i="0" u="none" strike="noStrike" baseline="0">
                    <a:solidFill>
                      <a:srgbClr val="000000"/>
                    </a:solidFill>
                    <a:latin typeface="Calibri"/>
                    <a:ea typeface="Calibri"/>
                    <a:cs typeface="Calibri"/>
                  </a:defRPr>
                </a:pPr>
                <a:r>
                  <a:rPr lang="en-US"/>
                  <a:t>particle siz (µm) </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5917312"/>
        <c:crosses val="autoZero"/>
        <c:crossBetween val="midCat"/>
      </c:valAx>
      <c:valAx>
        <c:axId val="45917312"/>
        <c:scaling>
          <c:orientation val="minMax"/>
          <c:max val="100"/>
        </c:scaling>
        <c:delete val="0"/>
        <c:axPos val="l"/>
        <c:title>
          <c:tx>
            <c:rich>
              <a:bodyPr/>
              <a:lstStyle/>
              <a:p>
                <a:pPr>
                  <a:defRPr sz="1000" b="1" i="0" u="none" strike="noStrike" baseline="0">
                    <a:solidFill>
                      <a:srgbClr val="000000"/>
                    </a:solidFill>
                    <a:latin typeface="Calibri"/>
                    <a:ea typeface="Calibri"/>
                    <a:cs typeface="Calibri"/>
                  </a:defRPr>
                </a:pPr>
                <a:r>
                  <a:rPr lang="en-US"/>
                  <a:t>%removal </a:t>
                </a:r>
              </a:p>
            </c:rich>
          </c:tx>
          <c:overlay val="0"/>
        </c:title>
        <c:numFmt formatCode="General" sourceLinked="1"/>
        <c:majorTickMark val="out"/>
        <c:minorTickMark val="none"/>
        <c:tickLblPos val="nextTo"/>
        <c:crossAx val="45916736"/>
        <c:crosses val="autoZero"/>
        <c:crossBetween val="midCat"/>
      </c:valAx>
      <c:spPr>
        <a:noFill/>
        <a:ln w="25401">
          <a:noFill/>
        </a:ln>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74491196240149"/>
          <c:y val="3.4298951657167301E-2"/>
          <c:w val="0.82901184649216142"/>
          <c:h val="0.80658756072067761"/>
        </c:manualLayout>
      </c:layout>
      <c:scatterChart>
        <c:scatterStyle val="smoothMarker"/>
        <c:varyColors val="0"/>
        <c:ser>
          <c:idx val="0"/>
          <c:order val="0"/>
          <c:marker>
            <c:symbol val="square"/>
            <c:size val="4"/>
          </c:marker>
          <c:xVal>
            <c:numRef>
              <c:f>Sheet1!$A$1:$A$9</c:f>
              <c:numCache>
                <c:formatCode>General</c:formatCode>
                <c:ptCount val="9"/>
                <c:pt idx="0">
                  <c:v>1</c:v>
                </c:pt>
                <c:pt idx="1">
                  <c:v>2</c:v>
                </c:pt>
                <c:pt idx="2">
                  <c:v>4</c:v>
                </c:pt>
                <c:pt idx="3">
                  <c:v>6</c:v>
                </c:pt>
                <c:pt idx="4">
                  <c:v>8</c:v>
                </c:pt>
                <c:pt idx="5">
                  <c:v>10</c:v>
                </c:pt>
                <c:pt idx="6">
                  <c:v>12</c:v>
                </c:pt>
                <c:pt idx="7">
                  <c:v>14</c:v>
                </c:pt>
                <c:pt idx="8">
                  <c:v>16</c:v>
                </c:pt>
              </c:numCache>
            </c:numRef>
          </c:xVal>
          <c:yVal>
            <c:numRef>
              <c:f>Sheet1!$B$1:$B$9</c:f>
              <c:numCache>
                <c:formatCode>General</c:formatCode>
                <c:ptCount val="9"/>
                <c:pt idx="0">
                  <c:v>5</c:v>
                </c:pt>
                <c:pt idx="1">
                  <c:v>10</c:v>
                </c:pt>
                <c:pt idx="2">
                  <c:v>45</c:v>
                </c:pt>
                <c:pt idx="3">
                  <c:v>73</c:v>
                </c:pt>
                <c:pt idx="4">
                  <c:v>80.73</c:v>
                </c:pt>
                <c:pt idx="5">
                  <c:v>90.5</c:v>
                </c:pt>
                <c:pt idx="6">
                  <c:v>98.5</c:v>
                </c:pt>
                <c:pt idx="7">
                  <c:v>98.15</c:v>
                </c:pt>
                <c:pt idx="8">
                  <c:v>98.15</c:v>
                </c:pt>
              </c:numCache>
            </c:numRef>
          </c:yVal>
          <c:smooth val="1"/>
          <c:extLst xmlns:c16r2="http://schemas.microsoft.com/office/drawing/2015/06/chart">
            <c:ext xmlns:c16="http://schemas.microsoft.com/office/drawing/2014/chart" uri="{C3380CC4-5D6E-409C-BE32-E72D297353CC}">
              <c16:uniqueId val="{00000000-12B8-4899-89D3-C4A7138B2FB2}"/>
            </c:ext>
          </c:extLst>
        </c:ser>
        <c:dLbls>
          <c:showLegendKey val="0"/>
          <c:showVal val="0"/>
          <c:showCatName val="0"/>
          <c:showSerName val="0"/>
          <c:showPercent val="0"/>
          <c:showBubbleSize val="0"/>
        </c:dLbls>
        <c:axId val="256048448"/>
        <c:axId val="45916160"/>
      </c:scatterChart>
      <c:valAx>
        <c:axId val="256048448"/>
        <c:scaling>
          <c:orientation val="minMax"/>
        </c:scaling>
        <c:delete val="0"/>
        <c:axPos val="b"/>
        <c:title>
          <c:tx>
            <c:rich>
              <a:bodyPr/>
              <a:lstStyle/>
              <a:p>
                <a:pPr>
                  <a:defRPr sz="1199" b="0" i="0" u="none" strike="noStrike" baseline="0">
                    <a:solidFill>
                      <a:srgbClr val="000000"/>
                    </a:solidFill>
                    <a:latin typeface="Times New Roman"/>
                    <a:ea typeface="Times New Roman"/>
                    <a:cs typeface="Times New Roman"/>
                  </a:defRPr>
                </a:pPr>
                <a:r>
                  <a:rPr lang="en-US" b="0"/>
                  <a:t>time (hr) </a:t>
                </a:r>
              </a:p>
            </c:rich>
          </c:tx>
          <c:layout>
            <c:manualLayout>
              <c:xMode val="edge"/>
              <c:yMode val="edge"/>
              <c:x val="0.41170358555792913"/>
              <c:y val="0.91765985773517444"/>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5916160"/>
        <c:crosses val="autoZero"/>
        <c:crossBetween val="midCat"/>
      </c:valAx>
      <c:valAx>
        <c:axId val="45916160"/>
        <c:scaling>
          <c:orientation val="minMax"/>
          <c:max val="100"/>
        </c:scaling>
        <c:delete val="0"/>
        <c:axPos val="l"/>
        <c:title>
          <c:tx>
            <c:rich>
              <a:bodyPr/>
              <a:lstStyle/>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 </a:t>
                </a:r>
                <a:r>
                  <a:rPr lang="en-US" sz="1199" b="0" i="0" u="none" strike="noStrike" baseline="0">
                    <a:solidFill>
                      <a:srgbClr val="000000"/>
                    </a:solidFill>
                    <a:latin typeface="Times New Roman"/>
                    <a:cs typeface="Times New Roman"/>
                  </a:rPr>
                  <a:t>Removal</a:t>
                </a:r>
                <a:r>
                  <a:rPr lang="en-US" sz="1000" b="1" i="0" u="none" strike="noStrike" baseline="0">
                    <a:solidFill>
                      <a:srgbClr val="000000"/>
                    </a:solidFill>
                    <a:latin typeface="Calibri"/>
                    <a:cs typeface="Calibri"/>
                  </a:rPr>
                  <a:t> </a:t>
                </a:r>
              </a:p>
            </c:rich>
          </c:tx>
          <c:layout>
            <c:manualLayout>
              <c:xMode val="edge"/>
              <c:yMode val="edge"/>
              <c:x val="2.9236511056439703E-3"/>
              <c:y val="0.29447401979636867"/>
            </c:manualLayout>
          </c:layout>
          <c:overlay val="0"/>
        </c:title>
        <c:numFmt formatCode="General" sourceLinked="1"/>
        <c:majorTickMark val="out"/>
        <c:minorTickMark val="none"/>
        <c:tickLblPos val="nextTo"/>
        <c:crossAx val="256048448"/>
        <c:crosses val="autoZero"/>
        <c:crossBetween val="midCat"/>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794431992943678E-2"/>
          <c:y val="3.2973538248586155E-2"/>
          <c:w val="0.89426112940868541"/>
          <c:h val="0.79930839290250011"/>
        </c:manualLayout>
      </c:layout>
      <c:scatterChart>
        <c:scatterStyle val="smoothMarker"/>
        <c:varyColors val="0"/>
        <c:ser>
          <c:idx val="0"/>
          <c:order val="0"/>
          <c:tx>
            <c:strRef>
              <c:f>Sheet4!$B$1</c:f>
              <c:strCache>
                <c:ptCount val="1"/>
                <c:pt idx="0">
                  <c:v>T=25</c:v>
                </c:pt>
              </c:strCache>
            </c:strRef>
          </c:tx>
          <c:marker>
            <c:symbol val="triangle"/>
            <c:size val="5"/>
          </c:marker>
          <c:xVal>
            <c:numRef>
              <c:f>Sheet4!$A$2:$A$4</c:f>
              <c:numCache>
                <c:formatCode>General</c:formatCode>
                <c:ptCount val="3"/>
                <c:pt idx="0">
                  <c:v>4</c:v>
                </c:pt>
                <c:pt idx="1">
                  <c:v>6</c:v>
                </c:pt>
                <c:pt idx="2">
                  <c:v>12</c:v>
                </c:pt>
              </c:numCache>
            </c:numRef>
          </c:xVal>
          <c:yVal>
            <c:numRef>
              <c:f>Sheet4!$B$2:$B$4</c:f>
              <c:numCache>
                <c:formatCode>General</c:formatCode>
                <c:ptCount val="3"/>
                <c:pt idx="0">
                  <c:v>70.650000000000006</c:v>
                </c:pt>
                <c:pt idx="1">
                  <c:v>78.12</c:v>
                </c:pt>
                <c:pt idx="2">
                  <c:v>95.13</c:v>
                </c:pt>
              </c:numCache>
            </c:numRef>
          </c:yVal>
          <c:smooth val="1"/>
          <c:extLst xmlns:c16r2="http://schemas.microsoft.com/office/drawing/2015/06/chart">
            <c:ext xmlns:c16="http://schemas.microsoft.com/office/drawing/2014/chart" uri="{C3380CC4-5D6E-409C-BE32-E72D297353CC}">
              <c16:uniqueId val="{00000000-FD85-46B6-867E-9A53C11606C4}"/>
            </c:ext>
          </c:extLst>
        </c:ser>
        <c:ser>
          <c:idx val="1"/>
          <c:order val="1"/>
          <c:tx>
            <c:strRef>
              <c:f>Sheet4!$C$1</c:f>
              <c:strCache>
                <c:ptCount val="1"/>
                <c:pt idx="0">
                  <c:v>T=40</c:v>
                </c:pt>
              </c:strCache>
            </c:strRef>
          </c:tx>
          <c:marker>
            <c:symbol val="square"/>
            <c:size val="5"/>
          </c:marker>
          <c:dPt>
            <c:idx val="2"/>
            <c:marker>
              <c:symbol val="diamond"/>
              <c:size val="5"/>
            </c:marker>
            <c:bubble3D val="0"/>
            <c:extLst xmlns:c16r2="http://schemas.microsoft.com/office/drawing/2015/06/chart">
              <c:ext xmlns:c16="http://schemas.microsoft.com/office/drawing/2014/chart" uri="{C3380CC4-5D6E-409C-BE32-E72D297353CC}">
                <c16:uniqueId val="{00000001-FD85-46B6-867E-9A53C11606C4}"/>
              </c:ext>
            </c:extLst>
          </c:dPt>
          <c:xVal>
            <c:numRef>
              <c:f>Sheet4!$A$2:$A$4</c:f>
              <c:numCache>
                <c:formatCode>General</c:formatCode>
                <c:ptCount val="3"/>
                <c:pt idx="0">
                  <c:v>4</c:v>
                </c:pt>
                <c:pt idx="1">
                  <c:v>6</c:v>
                </c:pt>
                <c:pt idx="2">
                  <c:v>12</c:v>
                </c:pt>
              </c:numCache>
            </c:numRef>
          </c:xVal>
          <c:yVal>
            <c:numRef>
              <c:f>Sheet4!$C$2:$C$4</c:f>
              <c:numCache>
                <c:formatCode>General</c:formatCode>
                <c:ptCount val="3"/>
                <c:pt idx="0">
                  <c:v>73.099999999999994</c:v>
                </c:pt>
                <c:pt idx="1">
                  <c:v>81.5</c:v>
                </c:pt>
                <c:pt idx="2">
                  <c:v>96.7</c:v>
                </c:pt>
              </c:numCache>
            </c:numRef>
          </c:yVal>
          <c:smooth val="1"/>
          <c:extLst xmlns:c16r2="http://schemas.microsoft.com/office/drawing/2015/06/chart">
            <c:ext xmlns:c16="http://schemas.microsoft.com/office/drawing/2014/chart" uri="{C3380CC4-5D6E-409C-BE32-E72D297353CC}">
              <c16:uniqueId val="{00000002-FD85-46B6-867E-9A53C11606C4}"/>
            </c:ext>
          </c:extLst>
        </c:ser>
        <c:ser>
          <c:idx val="2"/>
          <c:order val="2"/>
          <c:tx>
            <c:strRef>
              <c:f>Sheet4!$D$1</c:f>
              <c:strCache>
                <c:ptCount val="1"/>
                <c:pt idx="0">
                  <c:v>T=60</c:v>
                </c:pt>
              </c:strCache>
            </c:strRef>
          </c:tx>
          <c:marker>
            <c:symbol val="diamond"/>
            <c:size val="5"/>
          </c:marker>
          <c:xVal>
            <c:numRef>
              <c:f>Sheet4!$A$2:$A$4</c:f>
              <c:numCache>
                <c:formatCode>General</c:formatCode>
                <c:ptCount val="3"/>
                <c:pt idx="0">
                  <c:v>4</c:v>
                </c:pt>
                <c:pt idx="1">
                  <c:v>6</c:v>
                </c:pt>
                <c:pt idx="2">
                  <c:v>12</c:v>
                </c:pt>
              </c:numCache>
            </c:numRef>
          </c:xVal>
          <c:yVal>
            <c:numRef>
              <c:f>Sheet4!$D$2:$D$4</c:f>
              <c:numCache>
                <c:formatCode>General</c:formatCode>
                <c:ptCount val="3"/>
                <c:pt idx="0">
                  <c:v>75.52</c:v>
                </c:pt>
                <c:pt idx="1">
                  <c:v>85.43</c:v>
                </c:pt>
                <c:pt idx="2">
                  <c:v>98.15</c:v>
                </c:pt>
              </c:numCache>
            </c:numRef>
          </c:yVal>
          <c:smooth val="1"/>
          <c:extLst xmlns:c16r2="http://schemas.microsoft.com/office/drawing/2015/06/chart">
            <c:ext xmlns:c16="http://schemas.microsoft.com/office/drawing/2014/chart" uri="{C3380CC4-5D6E-409C-BE32-E72D297353CC}">
              <c16:uniqueId val="{00000003-FD85-46B6-867E-9A53C11606C4}"/>
            </c:ext>
          </c:extLst>
        </c:ser>
        <c:dLbls>
          <c:showLegendKey val="0"/>
          <c:showVal val="0"/>
          <c:showCatName val="0"/>
          <c:showSerName val="0"/>
          <c:showPercent val="0"/>
          <c:showBubbleSize val="0"/>
        </c:dLbls>
        <c:axId val="45919040"/>
        <c:axId val="45919616"/>
      </c:scatterChart>
      <c:valAx>
        <c:axId val="45919040"/>
        <c:scaling>
          <c:orientation val="minMax"/>
          <c:max val="13"/>
        </c:scaling>
        <c:delete val="0"/>
        <c:axPos val="b"/>
        <c:title>
          <c:tx>
            <c:rich>
              <a:bodyPr/>
              <a:lstStyle/>
              <a:p>
                <a:pPr>
                  <a:defRPr sz="1000" b="1" i="0" u="none" strike="noStrike" baseline="0">
                    <a:solidFill>
                      <a:srgbClr val="000000"/>
                    </a:solidFill>
                    <a:latin typeface="Calibri"/>
                    <a:ea typeface="Calibri"/>
                    <a:cs typeface="Calibri"/>
                  </a:defRPr>
                </a:pPr>
                <a:r>
                  <a:rPr lang="en-US"/>
                  <a:t>time hr</a:t>
                </a:r>
              </a:p>
            </c:rich>
          </c:tx>
          <c:layout>
            <c:manualLayout>
              <c:xMode val="edge"/>
              <c:yMode val="edge"/>
              <c:x val="0.41522476934150543"/>
              <c:y val="0.9290293552015676"/>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5919616"/>
        <c:crosses val="autoZero"/>
        <c:crossBetween val="midCat"/>
      </c:valAx>
      <c:valAx>
        <c:axId val="45919616"/>
        <c:scaling>
          <c:orientation val="minMax"/>
          <c:max val="100"/>
        </c:scaling>
        <c:delete val="0"/>
        <c:axPos val="l"/>
        <c:title>
          <c:tx>
            <c:rich>
              <a:bodyPr/>
              <a:lstStyle/>
              <a:p>
                <a:pPr>
                  <a:defRPr sz="1000" b="1" i="0" u="none" strike="noStrike" baseline="0">
                    <a:solidFill>
                      <a:srgbClr val="000000"/>
                    </a:solidFill>
                    <a:latin typeface="Calibri"/>
                    <a:ea typeface="Calibri"/>
                    <a:cs typeface="Calibri"/>
                  </a:defRPr>
                </a:pPr>
                <a:r>
                  <a:rPr lang="en-US"/>
                  <a:t>% Removal</a:t>
                </a:r>
              </a:p>
            </c:rich>
          </c:tx>
          <c:layout>
            <c:manualLayout>
              <c:xMode val="edge"/>
              <c:yMode val="edge"/>
              <c:x val="1.5500099440689735E-2"/>
              <c:y val="0.32330636089843612"/>
            </c:manualLayout>
          </c:layout>
          <c:overlay val="0"/>
        </c:title>
        <c:numFmt formatCode="General" sourceLinked="1"/>
        <c:majorTickMark val="out"/>
        <c:minorTickMark val="none"/>
        <c:tickLblPos val="nextTo"/>
        <c:crossAx val="45919040"/>
        <c:crosses val="autoZero"/>
        <c:crossBetween val="midCat"/>
      </c:valAx>
      <c:spPr>
        <a:noFill/>
        <a:ln w="25401">
          <a:noFill/>
        </a:ln>
      </c:spPr>
    </c:plotArea>
    <c:legend>
      <c:legendPos val="r"/>
      <c:layout>
        <c:manualLayout>
          <c:xMode val="edge"/>
          <c:yMode val="edge"/>
          <c:x val="0.78399192436924936"/>
          <c:y val="0.23231757320657498"/>
          <c:w val="0.13846178337281884"/>
          <c:h val="0.24990822852765188"/>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95688646336088"/>
          <c:y val="3.3112149880094387E-2"/>
          <c:w val="0.83978918222085797"/>
          <c:h val="0.77737294784934396"/>
        </c:manualLayout>
      </c:layout>
      <c:scatterChart>
        <c:scatterStyle val="lineMarker"/>
        <c:varyColors val="0"/>
        <c:ser>
          <c:idx val="0"/>
          <c:order val="0"/>
          <c:spPr>
            <a:ln w="28575">
              <a:noFill/>
            </a:ln>
          </c:spPr>
          <c:trendline>
            <c:trendlineType val="linear"/>
            <c:dispRSqr val="1"/>
            <c:dispEq val="1"/>
            <c:trendlineLbl>
              <c:tx>
                <c:rich>
                  <a:bodyPr/>
                  <a:lstStyle/>
                  <a:p>
                    <a:pPr>
                      <a:defRPr sz="1200" baseline="0">
                        <a:solidFill>
                          <a:sysClr val="windowText" lastClr="000000"/>
                        </a:solidFill>
                        <a:latin typeface="Times New Roman" pitchFamily="18" charset="0"/>
                        <a:cs typeface="Times New Roman" pitchFamily="18" charset="0"/>
                      </a:defRPr>
                    </a:pPr>
                    <a:r>
                      <a:rPr lang="en-US" sz="1200" baseline="0">
                        <a:solidFill>
                          <a:sysClr val="windowText" lastClr="000000"/>
                        </a:solidFill>
                      </a:rPr>
                      <a:t>y = 0.069x - 0.0174
R² = 0.9911</a:t>
                    </a:r>
                  </a:p>
                </c:rich>
              </c:tx>
              <c:numFmt formatCode="General" sourceLinked="0"/>
            </c:trendlineLbl>
          </c:trendline>
          <c:xVal>
            <c:numRef>
              <c:f>Sheet7!$A$1:$A$3</c:f>
              <c:numCache>
                <c:formatCode>General</c:formatCode>
                <c:ptCount val="3"/>
                <c:pt idx="0">
                  <c:v>5.12</c:v>
                </c:pt>
                <c:pt idx="1">
                  <c:v>2.29</c:v>
                </c:pt>
                <c:pt idx="2">
                  <c:v>0.37</c:v>
                </c:pt>
              </c:numCache>
            </c:numRef>
          </c:xVal>
          <c:yVal>
            <c:numRef>
              <c:f>Sheet7!$B$1:$B$3</c:f>
              <c:numCache>
                <c:formatCode>General</c:formatCode>
                <c:ptCount val="3"/>
                <c:pt idx="0">
                  <c:v>0.34408601999999999</c:v>
                </c:pt>
                <c:pt idx="1">
                  <c:v>0.12305480000000001</c:v>
                </c:pt>
                <c:pt idx="2">
                  <c:v>1.8848699999999999E-2</c:v>
                </c:pt>
              </c:numCache>
            </c:numRef>
          </c:yVal>
          <c:smooth val="0"/>
          <c:extLst xmlns:c16r2="http://schemas.microsoft.com/office/drawing/2015/06/chart">
            <c:ext xmlns:c16="http://schemas.microsoft.com/office/drawing/2014/chart" uri="{C3380CC4-5D6E-409C-BE32-E72D297353CC}">
              <c16:uniqueId val="{00000001-88A4-4A38-8B06-CBAF01A486BE}"/>
            </c:ext>
          </c:extLst>
        </c:ser>
        <c:dLbls>
          <c:showLegendKey val="0"/>
          <c:showVal val="0"/>
          <c:showCatName val="0"/>
          <c:showSerName val="0"/>
          <c:showPercent val="0"/>
          <c:showBubbleSize val="0"/>
        </c:dLbls>
        <c:axId val="45921344"/>
        <c:axId val="45921920"/>
      </c:scatterChart>
      <c:valAx>
        <c:axId val="45921344"/>
        <c:scaling>
          <c:orientation val="minMax"/>
        </c:scaling>
        <c:delete val="0"/>
        <c:axPos val="b"/>
        <c:title>
          <c:tx>
            <c:rich>
              <a:bodyPr/>
              <a:lstStyle/>
              <a:p>
                <a:pPr>
                  <a:defRPr/>
                </a:pPr>
                <a:r>
                  <a:rPr lang="en-US" sz="1200" b="0">
                    <a:latin typeface="Times New Roman" pitchFamily="18" charset="0"/>
                    <a:cs typeface="Times New Roman" pitchFamily="18" charset="0"/>
                  </a:rPr>
                  <a:t>Ce</a:t>
                </a:r>
              </a:p>
            </c:rich>
          </c:tx>
          <c:layout>
            <c:manualLayout>
              <c:xMode val="edge"/>
              <c:yMode val="edge"/>
              <c:x val="0.48428264355470502"/>
              <c:y val="0.87537274972102586"/>
            </c:manualLayout>
          </c:layout>
          <c:overlay val="0"/>
        </c:title>
        <c:numFmt formatCode="General" sourceLinked="1"/>
        <c:majorTickMark val="out"/>
        <c:minorTickMark val="none"/>
        <c:tickLblPos val="nextTo"/>
        <c:crossAx val="45921920"/>
        <c:crosses val="autoZero"/>
        <c:crossBetween val="midCat"/>
      </c:valAx>
      <c:valAx>
        <c:axId val="45921920"/>
        <c:scaling>
          <c:orientation val="minMax"/>
        </c:scaling>
        <c:delete val="0"/>
        <c:axPos val="l"/>
        <c:title>
          <c:tx>
            <c:rich>
              <a:bodyPr rot="-5400000" vert="horz"/>
              <a:lstStyle/>
              <a:p>
                <a:pPr>
                  <a:defRPr sz="1200" b="0"/>
                </a:pPr>
                <a:r>
                  <a:rPr lang="en-US" sz="1200" b="0">
                    <a:latin typeface="Times New Roman" pitchFamily="18" charset="0"/>
                    <a:cs typeface="Times New Roman" pitchFamily="18" charset="0"/>
                  </a:rPr>
                  <a:t>Ce/qe</a:t>
                </a:r>
              </a:p>
            </c:rich>
          </c:tx>
          <c:layout>
            <c:manualLayout>
              <c:xMode val="edge"/>
              <c:yMode val="edge"/>
              <c:x val="6.7776686356243847E-4"/>
              <c:y val="0.2743285575358857"/>
            </c:manualLayout>
          </c:layout>
          <c:overlay val="0"/>
        </c:title>
        <c:numFmt formatCode="General" sourceLinked="1"/>
        <c:majorTickMark val="out"/>
        <c:minorTickMark val="none"/>
        <c:tickLblPos val="nextTo"/>
        <c:crossAx val="45921344"/>
        <c:crosses val="autoZero"/>
        <c:crossBetween val="midCat"/>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61">
              <a:noFill/>
            </a:ln>
          </c:spPr>
          <c:trendline>
            <c:trendlineType val="linear"/>
            <c:dispRSqr val="1"/>
            <c:dispEq val="1"/>
            <c:trendlineLbl>
              <c:numFmt formatCode="General" sourceLinked="0"/>
              <c:txPr>
                <a:bodyPr/>
                <a:lstStyle/>
                <a:p>
                  <a:pPr>
                    <a:defRPr sz="1200">
                      <a:solidFill>
                        <a:sysClr val="windowText" lastClr="000000"/>
                      </a:solidFill>
                      <a:latin typeface="Times New Roman" pitchFamily="18" charset="0"/>
                      <a:cs typeface="Times New Roman" pitchFamily="18" charset="0"/>
                    </a:defRPr>
                  </a:pPr>
                  <a:endParaRPr lang="en-US"/>
                </a:p>
              </c:txPr>
            </c:trendlineLbl>
          </c:trendline>
          <c:xVal>
            <c:numRef>
              <c:f>Sheet6!$A$1:$A$3</c:f>
              <c:numCache>
                <c:formatCode>General</c:formatCode>
                <c:ptCount val="3"/>
                <c:pt idx="0">
                  <c:v>1.63315444</c:v>
                </c:pt>
                <c:pt idx="1">
                  <c:v>0.82855182000000005</c:v>
                </c:pt>
                <c:pt idx="2">
                  <c:v>-0.99425229999999998</c:v>
                </c:pt>
              </c:numCache>
            </c:numRef>
          </c:xVal>
          <c:yVal>
            <c:numRef>
              <c:f>Sheet6!$B$1:$B$3</c:f>
              <c:numCache>
                <c:formatCode>General</c:formatCode>
                <c:ptCount val="3"/>
                <c:pt idx="0">
                  <c:v>2.7001803</c:v>
                </c:pt>
                <c:pt idx="1">
                  <c:v>2.8741294499999999</c:v>
                </c:pt>
                <c:pt idx="2">
                  <c:v>2.9970590100000001</c:v>
                </c:pt>
              </c:numCache>
            </c:numRef>
          </c:yVal>
          <c:smooth val="0"/>
          <c:extLst xmlns:c16r2="http://schemas.microsoft.com/office/drawing/2015/06/chart">
            <c:ext xmlns:c16="http://schemas.microsoft.com/office/drawing/2014/chart" uri="{C3380CC4-5D6E-409C-BE32-E72D297353CC}">
              <c16:uniqueId val="{00000001-C2A9-4FC3-8A03-C6E4130F0F3C}"/>
            </c:ext>
          </c:extLst>
        </c:ser>
        <c:dLbls>
          <c:showLegendKey val="0"/>
          <c:showVal val="0"/>
          <c:showCatName val="0"/>
          <c:showSerName val="0"/>
          <c:showPercent val="0"/>
          <c:showBubbleSize val="0"/>
        </c:dLbls>
        <c:axId val="45926080"/>
        <c:axId val="45926656"/>
      </c:scatterChart>
      <c:valAx>
        <c:axId val="45926080"/>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US" sz="1200"/>
                  <a:t>lnCe</a:t>
                </a:r>
              </a:p>
            </c:rich>
          </c:tx>
          <c:overlay val="0"/>
        </c:title>
        <c:numFmt formatCode="General" sourceLinked="1"/>
        <c:majorTickMark val="out"/>
        <c:minorTickMark val="none"/>
        <c:tickLblPos val="nextTo"/>
        <c:txPr>
          <a:bodyPr rot="0" vert="horz"/>
          <a:lstStyle/>
          <a:p>
            <a:pPr>
              <a:defRPr sz="999" b="0" i="0" u="none" strike="noStrike" baseline="0">
                <a:solidFill>
                  <a:srgbClr val="000000"/>
                </a:solidFill>
                <a:latin typeface="Calibri"/>
                <a:ea typeface="Calibri"/>
                <a:cs typeface="Calibri"/>
              </a:defRPr>
            </a:pPr>
            <a:endParaRPr lang="en-US"/>
          </a:p>
        </c:txPr>
        <c:crossAx val="45926656"/>
        <c:crosses val="autoZero"/>
        <c:crossBetween val="midCat"/>
      </c:valAx>
      <c:valAx>
        <c:axId val="45926656"/>
        <c:scaling>
          <c:orientation val="minMax"/>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en-US" sz="1200"/>
                  <a:t>lnqe</a:t>
                </a:r>
              </a:p>
            </c:rich>
          </c:tx>
          <c:overlay val="0"/>
        </c:title>
        <c:numFmt formatCode="General" sourceLinked="1"/>
        <c:majorTickMark val="out"/>
        <c:minorTickMark val="none"/>
        <c:tickLblPos val="nextTo"/>
        <c:crossAx val="45926080"/>
        <c:crosses val="autoZero"/>
        <c:crossBetween val="midCat"/>
      </c:valAx>
      <c:spPr>
        <a:noFill/>
        <a:ln w="25387">
          <a:no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TotalTime>
  <Pages>20</Pages>
  <Words>6024</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ICT</cp:lastModifiedBy>
  <cp:revision>23</cp:revision>
  <dcterms:created xsi:type="dcterms:W3CDTF">2025-12-24T20:41:00Z</dcterms:created>
  <dcterms:modified xsi:type="dcterms:W3CDTF">2026-03-10T18:33:00Z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0b818fc3-12ec-4306-9c24-20ba6ffe9e99</vt:lpwstr>
  </property>
</Properties>
</file>